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0F" w:rsidRDefault="00985BA9">
      <w:pPr>
        <w:pStyle w:val="a5"/>
        <w:framePr w:w="5400" w:h="490" w:hRule="exact" w:wrap="around" w:vAnchor="page" w:hAnchor="page" w:x="5286" w:y="1071"/>
        <w:shd w:val="clear" w:color="auto" w:fill="auto"/>
        <w:spacing w:after="34" w:line="170" w:lineRule="exact"/>
        <w:ind w:right="20"/>
      </w:pPr>
      <w:r>
        <w:t>Управління розвитком соціально-економічних систем</w:t>
      </w:r>
    </w:p>
    <w:p w:rsidR="00422E0F" w:rsidRDefault="00985BA9">
      <w:pPr>
        <w:pStyle w:val="a5"/>
        <w:framePr w:w="5400" w:h="490" w:hRule="exact" w:wrap="around" w:vAnchor="page" w:hAnchor="page" w:x="5286" w:y="1071"/>
        <w:shd w:val="clear" w:color="auto" w:fill="auto"/>
        <w:spacing w:after="0" w:line="170" w:lineRule="exact"/>
        <w:ind w:right="20"/>
      </w:pPr>
      <w:r>
        <w:t>мікро-, мезо- та макрорівня</w:t>
      </w:r>
    </w:p>
    <w:p w:rsidR="00422E0F" w:rsidRDefault="00985BA9">
      <w:pPr>
        <w:pStyle w:val="10"/>
        <w:framePr w:w="9091" w:h="12319" w:hRule="exact" w:wrap="around" w:vAnchor="page" w:hAnchor="page" w:x="1571" w:y="2429"/>
        <w:shd w:val="clear" w:color="auto" w:fill="auto"/>
        <w:spacing w:after="402" w:line="190" w:lineRule="exact"/>
        <w:ind w:right="20"/>
      </w:pPr>
      <w:bookmarkStart w:id="0" w:name="bookmark0"/>
      <w:r>
        <w:t>Петро ПУЦЕНТЕЙЛО</w:t>
      </w:r>
      <w:bookmarkEnd w:id="0"/>
    </w:p>
    <w:p w:rsidR="00422E0F" w:rsidRDefault="00985BA9">
      <w:pPr>
        <w:pStyle w:val="20"/>
        <w:framePr w:w="9091" w:h="12319" w:hRule="exact" w:wrap="around" w:vAnchor="page" w:hAnchor="page" w:x="1571" w:y="2429"/>
        <w:shd w:val="clear" w:color="auto" w:fill="auto"/>
        <w:spacing w:before="0" w:after="222"/>
      </w:pPr>
      <w:r>
        <w:t>ОСОБЛИВОСТІ ДЕРЖАВНОЇ ПІДТРИМКИ ГАЛУЗІ М’ЯСНОГО СКОТАРСТВА</w:t>
      </w:r>
    </w:p>
    <w:p w:rsidR="00422E0F" w:rsidRDefault="00985BA9">
      <w:pPr>
        <w:pStyle w:val="30"/>
        <w:framePr w:w="9091" w:h="12319" w:hRule="exact" w:wrap="around" w:vAnchor="page" w:hAnchor="page" w:x="1571" w:y="2429"/>
        <w:shd w:val="clear" w:color="auto" w:fill="auto"/>
        <w:spacing w:before="0"/>
        <w:ind w:left="20" w:right="20" w:firstLine="280"/>
      </w:pPr>
      <w:r>
        <w:t xml:space="preserve">Визначено особливості державної підтримки м’ясного скотарства в сучасних умовах. Запропоновано </w:t>
      </w:r>
      <w:r>
        <w:t>пропозиціїконцептуального характеру</w:t>
      </w:r>
      <w:r>
        <w:rPr>
          <w:rStyle w:val="30pt"/>
        </w:rPr>
        <w:t xml:space="preserve"> з </w:t>
      </w:r>
      <w:r>
        <w:t>удосконалення механізмів державного регулювання галузі. Розроблено заходи державної підтримки фінансового забезпечення аграрного сектору.</w:t>
      </w:r>
    </w:p>
    <w:p w:rsidR="00422E0F" w:rsidRDefault="00985BA9">
      <w:pPr>
        <w:pStyle w:val="30"/>
        <w:framePr w:w="9091" w:h="12319" w:hRule="exact" w:wrap="around" w:vAnchor="page" w:hAnchor="page" w:x="1571" w:y="2429"/>
        <w:shd w:val="clear" w:color="auto" w:fill="auto"/>
        <w:spacing w:before="0"/>
        <w:ind w:left="20" w:right="20" w:firstLine="280"/>
      </w:pPr>
      <w:r>
        <w:rPr>
          <w:lang w:val="en-US" w:eastAsia="en-US" w:bidi="en-US"/>
        </w:rPr>
        <w:t>Peculiarities of state support of beef cattle in modern conditions. A proposal t</w:t>
      </w:r>
      <w:r>
        <w:rPr>
          <w:lang w:val="en-US" w:eastAsia="en-US" w:bidi="en-US"/>
        </w:rPr>
        <w:t>o improve the conceptual nature of the mechanisms of state regulation of industry. Developed measures of state support financial support of the agricultural sector.</w:t>
      </w:r>
    </w:p>
    <w:p w:rsidR="00422E0F" w:rsidRDefault="00985BA9">
      <w:pPr>
        <w:pStyle w:val="a7"/>
        <w:framePr w:w="9091" w:h="12319" w:hRule="exact" w:wrap="around" w:vAnchor="page" w:hAnchor="page" w:x="1571" w:y="2429"/>
        <w:shd w:val="clear" w:color="auto" w:fill="auto"/>
        <w:spacing w:before="0"/>
        <w:ind w:left="20" w:right="20" w:firstLine="280"/>
      </w:pPr>
      <w:r>
        <w:t xml:space="preserve">Створення конкурентоспроможного агропродовольчого виробництва неможливе без посилення ролі </w:t>
      </w:r>
      <w:r>
        <w:t>держави і підтримки аграрного сектору України. Виходячи з параметрів функціонування агропродовольчої системи, держава має розробляти і проводити в життя єдину політику в галузі продовольства. Мета цієї політики - гарантувати громадянам України фізичну та е</w:t>
      </w:r>
      <w:r>
        <w:t>кономічну доступність продуктів харчування відповідно до фізіологічних норм харчування незалежно від їх віку, майнового і посадового становища, місця проживання. Сталий і збалансований розвиток агропродовольчої сис</w:t>
      </w:r>
      <w:r>
        <w:softHyphen/>
        <w:t>теми України має забезпечуватися раціонал</w:t>
      </w:r>
      <w:r>
        <w:t>ьною пропорційністю між чинниками виробництва та необхідними темпами його розвитку в умовах ризику і мінливості зовнішніх умов функціонування для задоволення потреб населення у м’ясі яловичини. Загалом держава має забезпечувати: а) умови для виробництва не</w:t>
      </w:r>
      <w:r>
        <w:t>обхідного обсягу продуктів харчування; б) продовольчу незалежність країни; в) створення та підтримку державних продовольчих резервів; г) відповідність якості вироблених і реалізованих продуктів харчування вимогам державної системи стандартів; д) нормативно</w:t>
      </w:r>
      <w:r>
        <w:t>-правове регулювання.</w:t>
      </w:r>
    </w:p>
    <w:p w:rsidR="00422E0F" w:rsidRDefault="00985BA9">
      <w:pPr>
        <w:pStyle w:val="a7"/>
        <w:framePr w:w="9091" w:h="12319" w:hRule="exact" w:wrap="around" w:vAnchor="page" w:hAnchor="page" w:x="1571" w:y="2429"/>
        <w:shd w:val="clear" w:color="auto" w:fill="auto"/>
        <w:spacing w:before="0"/>
        <w:ind w:left="20" w:right="20"/>
        <w:jc w:val="right"/>
      </w:pPr>
      <w:r>
        <w:t>Проблема державного регулювання і підтримки агропромислового комплексу досліджена в нау</w:t>
      </w:r>
      <w:r>
        <w:softHyphen/>
        <w:t>ковій літературі, зокрема у працях В. Бакуменка [1], М. Віткова [2], С. Кваші [3], Ю. Лопатинського [4],</w:t>
      </w:r>
    </w:p>
    <w:p w:rsidR="00422E0F" w:rsidRDefault="00985BA9">
      <w:pPr>
        <w:pStyle w:val="a7"/>
        <w:framePr w:w="9091" w:h="12319" w:hRule="exact" w:wrap="around" w:vAnchor="page" w:hAnchor="page" w:x="1571" w:y="2429"/>
        <w:shd w:val="clear" w:color="auto" w:fill="auto"/>
        <w:tabs>
          <w:tab w:val="left" w:pos="352"/>
        </w:tabs>
        <w:spacing w:before="0"/>
        <w:ind w:left="20" w:right="20"/>
      </w:pPr>
      <w:r>
        <w:t>О.</w:t>
      </w:r>
      <w:r>
        <w:tab/>
        <w:t xml:space="preserve">Могильного [5], М. Одінцова [6], А. </w:t>
      </w:r>
      <w:r>
        <w:t>Пучкова [7], Л. Шкварчук [8]. Однак поза увагою дослідження опинилося питання державного розвитку, регулювання і підтримки галузі м’ясного скотарства в сучасних умовах функціонування ринкових відносин.</w:t>
      </w:r>
    </w:p>
    <w:p w:rsidR="00422E0F" w:rsidRDefault="00985BA9">
      <w:pPr>
        <w:pStyle w:val="a7"/>
        <w:framePr w:w="9091" w:h="12319" w:hRule="exact" w:wrap="around" w:vAnchor="page" w:hAnchor="page" w:x="1571" w:y="2429"/>
        <w:shd w:val="clear" w:color="auto" w:fill="auto"/>
        <w:spacing w:before="0"/>
        <w:ind w:left="20" w:right="20" w:firstLine="280"/>
      </w:pPr>
      <w:r>
        <w:t>Мета статті - теоретичне узагальнення сутності, змісту</w:t>
      </w:r>
      <w:r>
        <w:t xml:space="preserve"> і складу процесу державного регулювання і підтримки м’ясного скотарства, орієнтованого на ефективне функціонування з урахуванням особли</w:t>
      </w:r>
      <w:r>
        <w:softHyphen/>
        <w:t>вості ситуації в галузі, що склалася.</w:t>
      </w:r>
    </w:p>
    <w:p w:rsidR="00422E0F" w:rsidRDefault="00985BA9">
      <w:pPr>
        <w:pStyle w:val="a7"/>
        <w:framePr w:w="9091" w:h="12319" w:hRule="exact" w:wrap="around" w:vAnchor="page" w:hAnchor="page" w:x="1571" w:y="2429"/>
        <w:shd w:val="clear" w:color="auto" w:fill="auto"/>
        <w:spacing w:before="0"/>
        <w:ind w:left="20" w:right="20" w:firstLine="280"/>
      </w:pPr>
      <w:r>
        <w:t>Державне регулювання в умовах ринкової економіки - це система законодавчих, викон</w:t>
      </w:r>
      <w:r>
        <w:t xml:space="preserve">авчих і контрольних заходів, які держава вживає з метою забезпечення соціально-економічного розвитку країни. Це полісистемне поняття, притаманне природній, суспільній, організаційній, технологічній, технічній та іншим сферам суспільного життя і природного </w:t>
      </w:r>
      <w:r>
        <w:t>розвитку середовища, й зумовлює стабіль</w:t>
      </w:r>
      <w:r>
        <w:softHyphen/>
        <w:t>ність, підтримує постійність та певний рівень функціонування зовнішньої і внутрішньої систем. Най</w:t>
      </w:r>
      <w:r>
        <w:softHyphen/>
        <w:t>більш складною сферою державного регулювання є розвиток аграрних виробничих відносин, на які впливають численні чинник</w:t>
      </w:r>
      <w:r>
        <w:t>и як зовнішнього, такі внутрішнього середовища. Державне регулювання в аграрній сфері поряд з ринковим механізмом є раціональним доповнюючим симбіозом двох протилежних за змістом інструментів, поєднання яких дає необхідний позитивний результат.</w:t>
      </w:r>
    </w:p>
    <w:p w:rsidR="00422E0F" w:rsidRDefault="00985BA9">
      <w:pPr>
        <w:pStyle w:val="30"/>
        <w:framePr w:w="9091" w:h="12319" w:hRule="exact" w:wrap="around" w:vAnchor="page" w:hAnchor="page" w:x="1571" w:y="2429"/>
        <w:shd w:val="clear" w:color="auto" w:fill="auto"/>
        <w:spacing w:before="0" w:after="0"/>
        <w:ind w:left="20" w:right="20" w:firstLine="280"/>
      </w:pPr>
      <w:r>
        <w:rPr>
          <w:rStyle w:val="30pt"/>
        </w:rPr>
        <w:t>Стосовно сі</w:t>
      </w:r>
      <w:r>
        <w:rPr>
          <w:rStyle w:val="30pt"/>
        </w:rPr>
        <w:t xml:space="preserve">льського господарства використовуються різноманітні форми державного регулювання, найбільш важливими з яких є такі: </w:t>
      </w:r>
      <w:r>
        <w:t>податкове регулювання; грошово-кредитне регулювання; бюджетне регулювання;</w:t>
      </w:r>
      <w:r>
        <w:rPr>
          <w:rStyle w:val="30pt"/>
        </w:rPr>
        <w:t xml:space="preserve"> р</w:t>
      </w:r>
      <w:r>
        <w:t>егулювання шляхом формування державних програм і державних замов</w:t>
      </w:r>
      <w:r>
        <w:softHyphen/>
        <w:t>лень; цінове регулювання; соціальне регулювання; регулювання умов праці, трудових відносин,</w:t>
      </w:r>
    </w:p>
    <w:p w:rsidR="00422E0F" w:rsidRDefault="00985BA9">
      <w:pPr>
        <w:pStyle w:val="40"/>
        <w:framePr w:wrap="around" w:vAnchor="page" w:hAnchor="page" w:x="1571" w:y="15005"/>
        <w:shd w:val="clear" w:color="auto" w:fill="auto"/>
        <w:spacing w:before="0" w:line="140" w:lineRule="exact"/>
        <w:ind w:left="20"/>
      </w:pPr>
      <w:r>
        <w:t>© Петро Пуцентейло, 2013.</w:t>
      </w:r>
    </w:p>
    <w:p w:rsidR="00422E0F" w:rsidRDefault="00985BA9">
      <w:pPr>
        <w:pStyle w:val="22"/>
        <w:framePr w:wrap="around" w:vAnchor="page" w:hAnchor="page" w:x="1566" w:y="15577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985BA9">
      <w:pPr>
        <w:pStyle w:val="a5"/>
        <w:framePr w:wrap="around" w:vAnchor="page" w:hAnchor="page" w:x="10441" w:y="15599"/>
        <w:shd w:val="clear" w:color="auto" w:fill="auto"/>
        <w:spacing w:after="0" w:line="170" w:lineRule="exact"/>
        <w:ind w:left="20"/>
        <w:jc w:val="left"/>
      </w:pPr>
      <w:r>
        <w:t>39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32"/>
        <w:framePr w:w="9130" w:h="432" w:hRule="exact" w:wrap="around" w:vAnchor="page" w:hAnchor="page" w:x="1556" w:y="1102"/>
        <w:shd w:val="clear" w:color="auto" w:fill="auto"/>
        <w:spacing w:after="45" w:line="140" w:lineRule="exact"/>
        <w:ind w:left="40"/>
      </w:pPr>
      <w:r>
        <w:lastRenderedPageBreak/>
        <w:t>П. Пуцентейло</w:t>
      </w:r>
    </w:p>
    <w:p w:rsidR="00422E0F" w:rsidRDefault="00985BA9">
      <w:pPr>
        <w:pStyle w:val="a5"/>
        <w:framePr w:w="9130" w:h="432" w:hRule="exact" w:wrap="around" w:vAnchor="page" w:hAnchor="page" w:x="1556" w:y="1102"/>
        <w:shd w:val="clear" w:color="auto" w:fill="auto"/>
        <w:spacing w:after="0" w:line="170" w:lineRule="exact"/>
        <w:ind w:left="40"/>
        <w:jc w:val="left"/>
      </w:pPr>
      <w:r>
        <w:t>Особливості державної підтримки...</w:t>
      </w:r>
    </w:p>
    <w:p w:rsidR="00422E0F" w:rsidRDefault="00985BA9">
      <w:pPr>
        <w:pStyle w:val="30"/>
        <w:framePr w:w="9082" w:h="13282" w:hRule="exact" w:wrap="around" w:vAnchor="page" w:hAnchor="page" w:x="1580" w:y="1761"/>
        <w:shd w:val="clear" w:color="auto" w:fill="auto"/>
        <w:spacing w:before="0" w:after="0"/>
        <w:ind w:left="20" w:right="20" w:firstLine="0"/>
      </w:pPr>
      <w:r>
        <w:t xml:space="preserve">оплати праці; регулювання охорони й </w:t>
      </w:r>
      <w:r>
        <w:t>відновлення навколишнього середовища; регулювання за допомогою обмежень і заборон; безпосереднє управління.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З метою формування аграрної політики у галузі м’ясного скотарства має бути організована цілеспрямована і скоординована діяльність державних та госпо</w:t>
      </w:r>
      <w:r>
        <w:t>дарських структур, затверджена доктрина продовольчої безпеки та розроблена концепція сталого розвитку сільськогосподарських територій на основі програмно-цільових параметрів. Необхідно, щоб правові, економічні та організа</w:t>
      </w:r>
      <w:r>
        <w:softHyphen/>
        <w:t>ційні заходи у сфері продовольчого</w:t>
      </w:r>
      <w:r>
        <w:t xml:space="preserve"> забезпечення знайшли відображення в державних прогнозах соціально-економічного розвитку, цільових державних і регіональних програмах. Зокрема, мають бути надані субсидії для фінансової підтримки реалізації програм, що передбачають розвиток м’ясного скотар</w:t>
      </w:r>
      <w:r>
        <w:t>ства, і на його базі розвиток виробництва кормів, переробного і постачальницько-збутового виробництв, пов’язаного з цією галуззю, що має істотне значення для соціально-економічного роз</w:t>
      </w:r>
      <w:r>
        <w:softHyphen/>
        <w:t>витку країни та її областей.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Основним завданням державної аграрної полі</w:t>
      </w:r>
      <w:r>
        <w:t>тики у м’ясному скотарстві є забезпечення сталого розвитку галузі в умовах відкритого конкурентного середовища, налагодження ефективних ринкових інституцій, надання державної підтримки, створення умов для фінансової самодостатності усіх сільськогосподарськ</w:t>
      </w:r>
      <w:r>
        <w:t>их товаровиробників. Отже, необхідність державної підтримки сільськогос</w:t>
      </w:r>
      <w:r>
        <w:softHyphen/>
        <w:t xml:space="preserve">подарських товаровиробників в умовах ринкових відносин обумовлена передусім тим чинником, що ринкові механізми господарювання не можуть функціонувати з тією жефективністю і повнотою в </w:t>
      </w:r>
      <w:r>
        <w:t>аграрній сфері економіки, як товаровиробники інших секторів національної економіки. Це пов’язано насамперед зі специфікою галузі м’ясного скотарства, де товаровиробнику доводиться працювати з біологічними об’єктами, продуктивність яких багато в чому зумовл</w:t>
      </w:r>
      <w:r>
        <w:t>ена природними чинниками. Заходи державної аграрної політики мають бути спрямовані, насамперед, на зміцнення ролі держави через механізми державної бюджетної та податкової підтримки галузі, удосконалення системи її управління, формування ринкової інфрастру</w:t>
      </w:r>
      <w:r>
        <w:t>ктури племінного і товарного ринку й системи контролю якості продукції, підтримку експортного потенціалу галузі та нарощуванні поголів’я тварин, для недопущення будь- яких спадів у виробництві стратегічно важливоїдля забезпечення продовольчої безпеки держа</w:t>
      </w:r>
      <w:r>
        <w:t>ви м’ясом яловичини й зміцнення її конкурентоспроможності на світових ринках. Основою має стати адекватна сучасним вимогам системам державної підтримки галузі м’ясного скотарства.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У галузі м’ясного скотарства виділяють такі форми підтримки сільськогосподар</w:t>
      </w:r>
      <w:r>
        <w:t>ських товарови</w:t>
      </w:r>
      <w:r>
        <w:softHyphen/>
        <w:t>робників: пряма, непряма й опосередкована (рис. 1).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Під прямою державною підтримкою розуміється бюджетна підтримка вітчизняних виробників м’яса яловичини, котра безпосередньо впливає на їхню фінансово-господарську діяльність.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 xml:space="preserve">До форм прямої </w:t>
      </w:r>
      <w:r>
        <w:t>державної підтримки зараховують субсидії на сільськогосподарське виробниц</w:t>
      </w:r>
      <w:r>
        <w:softHyphen/>
        <w:t>тво і матеріально-технічні ресурси, субсидування кредитування підприємств з вирощування великої рогатої худоби, фінансове забезпечення лізингових схем, субсидії на відшкодування част</w:t>
      </w:r>
      <w:r>
        <w:t>ини витрат сільськогосподарських товаровиробників на страхування життя тварин, субсидії на витрати капітального характеру, виділення бюджетних коштів на підтримку аграрної науки. Форми прямої підтримки спря</w:t>
      </w:r>
      <w:r>
        <w:softHyphen/>
        <w:t>мовані на збереження, підтримку і розвиток сільсь</w:t>
      </w:r>
      <w:r>
        <w:t>когосподарського виробництва (метод підтримки - субсидування виробництва м’яса яловичини). Це сприяє підтримці доходів товаровиробників і дає змогу компенсувати частину витрат, пов’язаних із сільськогосподарським виробництвом.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Під непрямою формою державної</w:t>
      </w:r>
      <w:r>
        <w:t xml:space="preserve"> підтримки м’ясного скотарства слід розуміти вплив з боку органів державного управління АПК на результати фінансово-господарської діяльності сільськогосподарських товаровиробників м’яса яловичини, який здійснюється непрямими методами.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До непрямої форми дер</w:t>
      </w:r>
      <w:r>
        <w:t xml:space="preserve">жавної підтримки слід зарахувати пільгове оподаткування сільсько- господарськихтоваровиробників, запровадження єдиного сільськогосподарського податку, виділення бюджетних коштів на здійснення закупівлі сільськогосподарської продукції для державних потреб, </w:t>
      </w:r>
      <w:r>
        <w:t>проведення товарних і закупівельних інтервенцій.</w:t>
      </w:r>
    </w:p>
    <w:p w:rsidR="00422E0F" w:rsidRDefault="00985BA9">
      <w:pPr>
        <w:pStyle w:val="a7"/>
        <w:framePr w:w="9082" w:h="13282" w:hRule="exact" w:wrap="around" w:vAnchor="page" w:hAnchor="page" w:x="1580" w:y="1761"/>
        <w:shd w:val="clear" w:color="auto" w:fill="auto"/>
        <w:spacing w:before="0"/>
        <w:ind w:left="20" w:right="20" w:firstLine="280"/>
      </w:pPr>
      <w:r>
        <w:t>Опосередкована форма державної підтримки м’ясного скотарства являє собою підтримку і спри</w:t>
      </w:r>
      <w:r>
        <w:softHyphen/>
        <w:t>яння розвитку виробничої та соціальної інфраструктур, розвитку ринкових відносин, формування макроекономічної політик</w:t>
      </w:r>
      <w:r>
        <w:t>и, тобто при якій відбувається зміцнення виробничого потенціалу і позицій на споживчому ринку через опосередковані форми в основному програмно-цільового характеру, які прямо не пов’язані з аграрним сектором економіки, наприклад реалізація програм підвищенн</w:t>
      </w:r>
      <w:r>
        <w:t>я рівня життя мешканців сільськихтериторій.</w:t>
      </w:r>
    </w:p>
    <w:p w:rsidR="00422E0F" w:rsidRDefault="00985BA9">
      <w:pPr>
        <w:pStyle w:val="a5"/>
        <w:framePr w:wrap="around" w:vAnchor="page" w:hAnchor="page" w:x="1542" w:y="15578"/>
        <w:shd w:val="clear" w:color="auto" w:fill="auto"/>
        <w:spacing w:after="0" w:line="170" w:lineRule="exact"/>
        <w:ind w:left="20"/>
        <w:jc w:val="left"/>
      </w:pPr>
      <w:r>
        <w:t>40</w:t>
      </w:r>
    </w:p>
    <w:p w:rsidR="00422E0F" w:rsidRDefault="00985BA9">
      <w:pPr>
        <w:pStyle w:val="22"/>
        <w:framePr w:wrap="around" w:vAnchor="page" w:hAnchor="page" w:x="8473" w:y="15584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a5"/>
        <w:framePr w:w="5400" w:h="490" w:hRule="exact" w:wrap="around" w:vAnchor="page" w:hAnchor="page" w:x="5281" w:y="1054"/>
        <w:shd w:val="clear" w:color="auto" w:fill="auto"/>
        <w:spacing w:after="34" w:line="170" w:lineRule="exact"/>
        <w:ind w:right="20"/>
      </w:pPr>
      <w:r>
        <w:lastRenderedPageBreak/>
        <w:t>Управління розвитком соціально-економічних систем</w:t>
      </w:r>
    </w:p>
    <w:p w:rsidR="00422E0F" w:rsidRDefault="00985BA9">
      <w:pPr>
        <w:pStyle w:val="a5"/>
        <w:framePr w:w="5400" w:h="490" w:hRule="exact" w:wrap="around" w:vAnchor="page" w:hAnchor="page" w:x="5281" w:y="1054"/>
        <w:shd w:val="clear" w:color="auto" w:fill="auto"/>
        <w:spacing w:after="0" w:line="170" w:lineRule="exact"/>
        <w:ind w:right="20"/>
      </w:pPr>
      <w:r>
        <w:t>мікро-, мезо- та макрорівня</w:t>
      </w:r>
    </w:p>
    <w:p w:rsidR="00422E0F" w:rsidRDefault="00985BA9">
      <w:pPr>
        <w:framePr w:wrap="none" w:vAnchor="page" w:hAnchor="page" w:x="2761" w:y="209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435pt">
            <v:imagedata r:id="rId7" r:href="rId8"/>
          </v:shape>
        </w:pict>
      </w:r>
    </w:p>
    <w:p w:rsidR="00422E0F" w:rsidRDefault="00985BA9">
      <w:pPr>
        <w:pStyle w:val="a9"/>
        <w:framePr w:w="6077" w:h="219" w:hRule="exact" w:wrap="around" w:vAnchor="page" w:hAnchor="page" w:x="3088" w:y="11362"/>
        <w:shd w:val="clear" w:color="auto" w:fill="auto"/>
        <w:spacing w:line="190" w:lineRule="exact"/>
      </w:pPr>
      <w:r>
        <w:rPr>
          <w:rStyle w:val="0pt"/>
          <w:b/>
          <w:bCs/>
        </w:rPr>
        <w:t xml:space="preserve">Рис. 1. </w:t>
      </w:r>
      <w:r>
        <w:t>Механізм державної підтримки м’ясного скотарства</w:t>
      </w:r>
    </w:p>
    <w:p w:rsidR="00422E0F" w:rsidRDefault="00985BA9">
      <w:pPr>
        <w:pStyle w:val="a7"/>
        <w:framePr w:w="9072" w:h="3144" w:hRule="exact" w:wrap="around" w:vAnchor="page" w:hAnchor="page" w:x="1585" w:y="11844"/>
        <w:shd w:val="clear" w:color="auto" w:fill="auto"/>
        <w:spacing w:before="0" w:line="259" w:lineRule="exact"/>
        <w:ind w:right="20" w:firstLine="280"/>
      </w:pPr>
      <w:r>
        <w:t>Форми підтримки здійснюють прояв під впливом обраної державної агропродовольчої</w:t>
      </w:r>
      <w:r>
        <w:t xml:space="preserve"> доктрини і реалізованої державної аграрної політики. Форми підтримки можуть змінюватися і трансформуватися, передусім з урахуванням соціально-економічного становища виробників м’яса яловичини та розвитку сільських територій. Істотний вплив на розмір і фор</w:t>
      </w:r>
      <w:r>
        <w:t>ми державної підтримки справляє диспаритет цін на продукцію, реалізовану сільськогосподарськими товаровиробниками, і товари промисловості, які ними закуповуються. Механізм державної підтримки насамперед має бути спрямований на збереження паритетних співвід</w:t>
      </w:r>
      <w:r>
        <w:t>ношень.</w:t>
      </w:r>
    </w:p>
    <w:p w:rsidR="00422E0F" w:rsidRDefault="00985BA9">
      <w:pPr>
        <w:pStyle w:val="a7"/>
        <w:framePr w:w="9072" w:h="3144" w:hRule="exact" w:wrap="around" w:vAnchor="page" w:hAnchor="page" w:x="1585" w:y="11844"/>
        <w:shd w:val="clear" w:color="auto" w:fill="auto"/>
        <w:spacing w:before="0" w:line="259" w:lineRule="exact"/>
        <w:ind w:right="20" w:firstLine="280"/>
      </w:pPr>
      <w:r>
        <w:t xml:space="preserve">Організаційно-економічний механізм державної підтримки і регулювання м’ясного скотарства, як важливий компонент державного регулювання АПК в сучасних умовах господарювання, має формуватися з дотриманням таких важливих принципів: своєчасна розробка </w:t>
      </w:r>
      <w:r>
        <w:t>планових показників розвитку галузі; достатність фінансування усіх запланованих програм; цільове використання державних коштів; виконання запланованих показників розвитку галузі; попереджувальний характер заходів</w:t>
      </w:r>
    </w:p>
    <w:p w:rsidR="00422E0F" w:rsidRDefault="00985BA9">
      <w:pPr>
        <w:pStyle w:val="22"/>
        <w:framePr w:wrap="around" w:vAnchor="page" w:hAnchor="page" w:x="1566" w:y="15569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985BA9">
      <w:pPr>
        <w:pStyle w:val="a5"/>
        <w:framePr w:wrap="around" w:vAnchor="page" w:hAnchor="page" w:x="10441" w:y="15592"/>
        <w:shd w:val="clear" w:color="auto" w:fill="auto"/>
        <w:spacing w:after="0" w:line="170" w:lineRule="exact"/>
        <w:ind w:left="20"/>
        <w:jc w:val="left"/>
      </w:pPr>
      <w:r>
        <w:t>41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32"/>
        <w:framePr w:w="9139" w:h="432" w:hRule="exact" w:wrap="around" w:vAnchor="page" w:hAnchor="page" w:x="1552" w:y="1093"/>
        <w:shd w:val="clear" w:color="auto" w:fill="auto"/>
        <w:spacing w:after="45" w:line="140" w:lineRule="exact"/>
        <w:ind w:left="40"/>
      </w:pPr>
      <w:r>
        <w:lastRenderedPageBreak/>
        <w:t>П. Пуцентейло</w:t>
      </w:r>
    </w:p>
    <w:p w:rsidR="00422E0F" w:rsidRDefault="00985BA9">
      <w:pPr>
        <w:pStyle w:val="a5"/>
        <w:framePr w:w="9139" w:h="432" w:hRule="exact" w:wrap="around" w:vAnchor="page" w:hAnchor="page" w:x="1552" w:y="1093"/>
        <w:shd w:val="clear" w:color="auto" w:fill="auto"/>
        <w:spacing w:after="0" w:line="170" w:lineRule="exact"/>
        <w:ind w:left="40"/>
        <w:jc w:val="left"/>
      </w:pPr>
      <w:r>
        <w:t>Особливості державної підтримки...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right="20"/>
      </w:pPr>
      <w:r>
        <w:t>підтримки; оперативне реагування на дестабілізуючі чинники впливу; адресністьдержавної під</w:t>
      </w:r>
      <w:r>
        <w:softHyphen/>
        <w:t xml:space="preserve">тримки; відкритість при плануванні, розподілі і контролі державних коштів; доступність усіх </w:t>
      </w:r>
      <w:r>
        <w:t>сільськогосподарськихтоваровиробників з отримання державних коштів; врахування регіональних і зональних особливостей функціонування галузі при наданні державної допомоги.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На галузевому рівні передбачається вирішення таких проблем, як розробка загальних при</w:t>
      </w:r>
      <w:r>
        <w:t>нципів розвитку м’ясного скотарства і заходів, спрямованих на забезпечення продовольчої безпеки країни; створення у тваринництві оптимального ресурсного потенціалу; забезпечення паритету цін між продукцією сільськогосподарських товаровиробників та інших га</w:t>
      </w:r>
      <w:r>
        <w:t>лузей; регулювання кредитно- фінансової системи.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На регіональному рівні мають бути вирішені такі завдання: зростання кількості прибуткових господарств; реалізація антимонопольної політики і підтримки багатоукладності організаційно-пра</w:t>
      </w:r>
      <w:r>
        <w:softHyphen/>
        <w:t>вових форм господарюв</w:t>
      </w:r>
      <w:r>
        <w:t>ання; регулювання виробництва і збуту продукції тваринництва; розробка й ефективна реалізація програми соціально-економічного розвитку сільських територій; залучення інвестицій; здійснення інформаційно-консультаційної діяльності.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Заданими Організації еконо</w:t>
      </w:r>
      <w:r>
        <w:t>мічного співробітництва і розвитку (ОЕСР), у 25 країнах, котрі входять у це угруповання, розмір підтримки сільськогосподарськихтоваровиробників у 2009 р. становив 468 млрд. дол. США [8, с. 14]. У США федеральні бюджетні асигнування на сільське господарство</w:t>
      </w:r>
      <w:r>
        <w:t xml:space="preserve"> виділяють у вигляді прямих грошових виплат, пільгових кредитів, безвідсоткових позик і платежів на безповоротній основі. Державна система кредитування займає близько половини виданої фермерам позик усіма комерційними банками і страховими компаніями. Частк</w:t>
      </w:r>
      <w:r>
        <w:t>а державних субсидій у чистому грошовому доході американських фірм становить 25-35%, а за окремими напрямами у несприятливі роки питома вага урядових платежів у чистому доході ферм коливається від 60 до 100% [9, с. 4].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Державна підтримка у зарубіжних країн</w:t>
      </w:r>
      <w:r>
        <w:t>ах здійснюється за різними напрямами і показниками, але завжди має загальнодержавний характер і певні єдині показники для підприємств різних організаційних форм господарювання. Країни ЄС, США і Японія надають підтримку сільськогосподарському товаровиробник</w:t>
      </w:r>
      <w:r>
        <w:t xml:space="preserve">у переважно через встановлення гарантованих цін на основні сільськогосподарські продукти з метою забезпечення стабільності доходів фермерських господарств, відтворювальних процесів та оновлення аграрного виробництва. Водночас за допомогою антимонопольного </w:t>
      </w:r>
      <w:r>
        <w:t>законо</w:t>
      </w:r>
      <w:r>
        <w:softHyphen/>
        <w:t>давства обмежуються рівень цін на основні та оборотні засоби, що їх виробляють і продають корпорації або фірми-монополісти сільськогосподарським товаровиробникам.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Варто зазначити, що державна підтримка сільського господарства у зарубіжних країнах яв</w:t>
      </w:r>
      <w:r>
        <w:t>ляє собою складний механізм, котрий включає різноманітний інструментарій, що впливає на доходи фермерів, структуру сільськогосподарського виробництва, фінансово-кредитний сектор. Іноземний досвід має практичне значення для агропромислового виробництва нашо</w:t>
      </w:r>
      <w:r>
        <w:t>ї країни, однак вико</w:t>
      </w:r>
      <w:r>
        <w:softHyphen/>
        <w:t>ристовувати його потрібно з урахуванням особливостей економічного розвитку України.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 xml:space="preserve">На нашу думку, проблему потреби м’ясного скотарства в бюджетних коштах слід розглядати на тривалу перспективу мінімум 8-10 років. Вихідним пунктом при </w:t>
      </w:r>
      <w:r>
        <w:t>цьому мають служити не тільки реальні можливості економіки країни, а й науково обґрунтована потреба галузі у цій підтримці, напрями її ефективного використання, тому доцільно бюджетну підтримку галузі м’ясного скотарства розділити на чотири групи.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До першо</w:t>
      </w:r>
      <w:r>
        <w:t>ї групи слід зарахувати прямі бюджетні виплати сільськогосподарським товаровироб</w:t>
      </w:r>
      <w:r>
        <w:softHyphen/>
        <w:t xml:space="preserve">никам, котрі включають підтримку ринкових цін на м’ясо яловичини, диференційовані виплати за наявне поголів’я худоби, її вгодованість згідно з віком тварин, а також інші, які </w:t>
      </w:r>
      <w:r>
        <w:t>безпосередньо стимулюють виробничу діяльність.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Другу групу становить бюджетна підтримка інвестиційних проектів, котрі охоплюють будівництво тваринницьких приміщень, придбання племінної худоби, техніки тощо. Формами підтримки розвитку основних фондів є лізи</w:t>
      </w:r>
      <w:r>
        <w:t>нг і пряма бюджетна участь у конкретних проектах.</w:t>
      </w:r>
    </w:p>
    <w:p w:rsidR="00422E0F" w:rsidRDefault="00985BA9">
      <w:pPr>
        <w:pStyle w:val="a7"/>
        <w:framePr w:w="9091" w:h="13032" w:hRule="exact" w:wrap="around" w:vAnchor="page" w:hAnchor="page" w:x="1576" w:y="1759"/>
        <w:shd w:val="clear" w:color="auto" w:fill="auto"/>
        <w:spacing w:before="0" w:line="259" w:lineRule="exact"/>
        <w:ind w:left="20" w:right="20" w:firstLine="280"/>
      </w:pPr>
      <w:r>
        <w:t>Третя група - бюджетна підтримка розвитку сільських територій. Вона торкається сільських населених пунктів, що перебувають у складних соціально-економічних умовах. Розвиток на цих територіях м’ясного скотар</w:t>
      </w:r>
      <w:r>
        <w:t>ства забезпечить зайнятість сільського населення.</w:t>
      </w:r>
    </w:p>
    <w:p w:rsidR="00422E0F" w:rsidRDefault="00985BA9">
      <w:pPr>
        <w:pStyle w:val="a5"/>
        <w:framePr w:wrap="around" w:vAnchor="page" w:hAnchor="page" w:x="1537" w:y="15578"/>
        <w:shd w:val="clear" w:color="auto" w:fill="auto"/>
        <w:spacing w:after="0" w:line="170" w:lineRule="exact"/>
        <w:ind w:left="20"/>
        <w:jc w:val="left"/>
      </w:pPr>
      <w:r>
        <w:t>42</w:t>
      </w:r>
    </w:p>
    <w:p w:rsidR="00422E0F" w:rsidRDefault="00985BA9">
      <w:pPr>
        <w:pStyle w:val="22"/>
        <w:framePr w:wrap="around" w:vAnchor="page" w:hAnchor="page" w:x="8468" w:y="15584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a5"/>
        <w:framePr w:w="9130" w:h="461" w:hRule="exact" w:wrap="around" w:vAnchor="page" w:hAnchor="page" w:x="1549" w:y="1059"/>
        <w:shd w:val="clear" w:color="auto" w:fill="auto"/>
        <w:spacing w:after="34" w:line="170" w:lineRule="exact"/>
        <w:ind w:right="20"/>
      </w:pPr>
      <w:r>
        <w:lastRenderedPageBreak/>
        <w:t>Управління розвитком соціально-економічних систем</w:t>
      </w:r>
    </w:p>
    <w:p w:rsidR="00422E0F" w:rsidRDefault="00985BA9">
      <w:pPr>
        <w:pStyle w:val="a5"/>
        <w:framePr w:w="9130" w:h="461" w:hRule="exact" w:wrap="around" w:vAnchor="page" w:hAnchor="page" w:x="1549" w:y="1059"/>
        <w:shd w:val="clear" w:color="auto" w:fill="auto"/>
        <w:spacing w:after="0" w:line="170" w:lineRule="exact"/>
        <w:ind w:right="20"/>
      </w:pPr>
      <w:r>
        <w:t>мікро-, мезо- та макрорівня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До четвертої групи слід зарахувати загальні послуги, що надаються сільському</w:t>
      </w:r>
      <w:r>
        <w:t xml:space="preserve"> господарству. Це фінансування державних організацій, котрі безпосередньо обслуговують сільські території, сільсь</w:t>
      </w:r>
      <w:r>
        <w:softHyphen/>
        <w:t>когосподарська наука і навчання, племінна справа, ветеринарне забезпечення, дорадництво і консалтинг.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Кошти бюджетної підтримки галузі м’ясног</w:t>
      </w:r>
      <w:r>
        <w:t>о скотарства доцільно розділити у таких пропорціях: прямі бюджетні виплати сільськогосподарським товаровиробникам - 50%; структурна підтримка та інвестиційні проекти - 20%; соціально-економічний розвиток сільських територій - 25%; загальні по</w:t>
      </w:r>
      <w:r>
        <w:softHyphen/>
        <w:t>слуги, що над</w:t>
      </w:r>
      <w:r>
        <w:t>аються сільському господарству - 5%.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Для удосконалення механізму державної підтримки необхідно: визначити критерії розподілу бюджетних коштів; запровадити механізм участі сільськогосподарськихтоваровиробників у програмах державної фінансової підтримки на у</w:t>
      </w:r>
      <w:r>
        <w:t xml:space="preserve">мовах рівного доступу та ефективного використання бюджетних коштів; збільшити обсяги фінансування наукових досліджень і розробок, дорадчої діяльності, освіти, розвитку соціальної сфери села та сільських територій, системи контролю за безпечністю та якістю </w:t>
      </w:r>
      <w:r>
        <w:t>продуктів харчування; підвищити ефективність видатків державного бюджету для підтримки аграрного сектору економіки шляхом запровадження програмно-цільового методу формування та використання бюджетних коштів; проводити моніторинг виконання бюджетних програм</w:t>
      </w:r>
      <w:r>
        <w:t>, за результатами якого скасовувати неефективні програми та спрямовувати фінансові ресурси на виконання програм, які найбільше відповідають цілям державної підтримки.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Основою стабілізації і нарощування чисельності м’ясної худоби, підвищення її продуктивнос</w:t>
      </w:r>
      <w:r>
        <w:t>ті та ефективності розведення стане функціонування раціонального організаційно-економічного механізму, який забезпечить окупність затрат її власникам, а саме: гарантовані мінімальні ціни наживу масу худоби; взаємовигідна система економічних відносин між ви</w:t>
      </w:r>
      <w:r>
        <w:t>робниками, переробниками і реалізато- рами яловичини (одержання кожним із учасників інтегрованих формувань однакової суми прибутку на вкладений капітал з урахуванням терміну його обороту); державна фінансова підтримка галузі; удосконалення кредитно-фінансо</w:t>
      </w:r>
      <w:r>
        <w:t>вої та податкової політики.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На регіональному рівні увага буде зосереджена на: залученні коштів місцевого бюджету для фінансування м’ясного скотарства; розширенні інфраструктури мережі сервісних послугз питань селекції та відтворення худоби, заготівлі, пере</w:t>
      </w:r>
      <w:r>
        <w:t>робки і реалізації продукції скотарства; освоєнні ресурсозберігаючих екологічно безпечних технологій у скотарстві, підготовці кадрів масових про</w:t>
      </w:r>
      <w:r>
        <w:softHyphen/>
        <w:t>фесій та підвищенні рівня їх кваліфікації, створенні сільських дорадчих служб.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На рівні сільськогосподарських ф</w:t>
      </w:r>
      <w:r>
        <w:t>ормувань з розведення м’ясної худоби слід забезпечити необхідні обсяги виробництва кормів, створити сприятливі умови утримання та годівлі тварин, підвищення ефективності селекційно-племінної роботи і рівня ветеринарного обслуговування.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firstLine="280"/>
      </w:pPr>
      <w:r>
        <w:t>Програма складається</w:t>
      </w:r>
      <w:r>
        <w:t xml:space="preserve"> з таких етапів.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 xml:space="preserve">Перший етап (2011-2012 </w:t>
      </w:r>
      <w:r>
        <w:rPr>
          <w:lang w:val="en-US" w:eastAsia="en-US" w:bidi="en-US"/>
        </w:rPr>
        <w:t xml:space="preserve">pp.): </w:t>
      </w:r>
      <w:r>
        <w:t>забезпечення нормативно-правової бази, розроблення та затверд</w:t>
      </w:r>
      <w:r>
        <w:softHyphen/>
        <w:t>ження цільових програм «Пасовища», «Комбікорми», «М’ясний репродуктор» і «Відгодівельний майданчик» з одночасним впровадженням пілотних інноваційних</w:t>
      </w:r>
      <w:r>
        <w:t xml:space="preserve"> проектів. Реалізація Програми передбачає застосування економічних важелів цінового регулювання ринку м’яса, зокрема, здійс</w:t>
      </w:r>
      <w:r>
        <w:softHyphen/>
        <w:t>нення товарних та фінансових інтервенцій, застосування пільгового режиму оподаткування при заку</w:t>
      </w:r>
      <w:r>
        <w:softHyphen/>
        <w:t>півлі племінних ресурсів і технологі</w:t>
      </w:r>
      <w:r>
        <w:t>чного обладнання, що зумовить удосконалення організаційно- економічних та правових механізмів регулювання розвитку ринку м’яса яловичини, підвищення доходів сільськогосподарських товаровиробників, сприятиме модернізації виробництва на основі інноваційних п</w:t>
      </w:r>
      <w:r>
        <w:t>ідходів і зменшенню витрат та отриманню продукції високої якості.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 xml:space="preserve">Другий етап (2013-2015 </w:t>
      </w:r>
      <w:r>
        <w:rPr>
          <w:lang w:val="en-US" w:eastAsia="en-US" w:bidi="en-US"/>
        </w:rPr>
        <w:t xml:space="preserve">pp.) </w:t>
      </w:r>
      <w:r>
        <w:t xml:space="preserve">- виконання передбачених Програмою фінансово-економічних та організаційних заходів згідно визначених принципів і пріоритетів розвитку галузі м’ясного скотарства, </w:t>
      </w:r>
      <w:r>
        <w:t>реалізація цільових програм та пілотних проектів.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 xml:space="preserve">Третій етап (2016-2020 </w:t>
      </w:r>
      <w:r>
        <w:rPr>
          <w:lang w:val="en-US" w:eastAsia="en-US" w:bidi="en-US"/>
        </w:rPr>
        <w:t xml:space="preserve">pp.) </w:t>
      </w:r>
      <w:r>
        <w:t>- передбачається використання в повному обсязі державного механізму регулювання ринку м’яса яловичини, завершення реалізації цільових програм та пілотних проектів, досягнення пер</w:t>
      </w:r>
      <w:r>
        <w:t>едбачених Програмою основних цільових індикаторів.</w:t>
      </w:r>
    </w:p>
    <w:p w:rsidR="00422E0F" w:rsidRDefault="00985BA9">
      <w:pPr>
        <w:pStyle w:val="a7"/>
        <w:framePr w:w="9077" w:h="13291" w:hRule="exact" w:wrap="around" w:vAnchor="page" w:hAnchor="page" w:x="1573" w:y="1754"/>
        <w:shd w:val="clear" w:color="auto" w:fill="auto"/>
        <w:spacing w:before="0" w:line="259" w:lineRule="exact"/>
        <w:ind w:left="20" w:right="20" w:firstLine="280"/>
      </w:pPr>
      <w:r>
        <w:t>Особливої уваги заслуговує питання визначення методики розміру державної підтримки м’ясного скотарства.</w:t>
      </w:r>
    </w:p>
    <w:p w:rsidR="00422E0F" w:rsidRDefault="00985BA9">
      <w:pPr>
        <w:pStyle w:val="22"/>
        <w:framePr w:wrap="around" w:vAnchor="page" w:hAnchor="page" w:x="1564" w:y="15574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985BA9">
      <w:pPr>
        <w:pStyle w:val="a5"/>
        <w:framePr w:wrap="around" w:vAnchor="page" w:hAnchor="page" w:x="10439" w:y="15597"/>
        <w:shd w:val="clear" w:color="auto" w:fill="auto"/>
        <w:spacing w:after="0" w:line="170" w:lineRule="exact"/>
        <w:ind w:left="20"/>
        <w:jc w:val="left"/>
      </w:pPr>
      <w:r>
        <w:t>43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32"/>
        <w:framePr w:w="9115" w:h="432" w:hRule="exact" w:wrap="around" w:vAnchor="page" w:hAnchor="page" w:x="1580" w:y="1083"/>
        <w:shd w:val="clear" w:color="auto" w:fill="auto"/>
        <w:spacing w:after="45" w:line="140" w:lineRule="exact"/>
        <w:ind w:left="40"/>
      </w:pPr>
      <w:r>
        <w:lastRenderedPageBreak/>
        <w:t>П. Пуцентейло</w:t>
      </w:r>
    </w:p>
    <w:p w:rsidR="00422E0F" w:rsidRDefault="00985BA9">
      <w:pPr>
        <w:pStyle w:val="a5"/>
        <w:framePr w:w="9115" w:h="432" w:hRule="exact" w:wrap="around" w:vAnchor="page" w:hAnchor="page" w:x="1580" w:y="1083"/>
        <w:shd w:val="clear" w:color="auto" w:fill="auto"/>
        <w:spacing w:after="0" w:line="170" w:lineRule="exact"/>
        <w:ind w:left="40"/>
        <w:jc w:val="left"/>
      </w:pPr>
      <w:r>
        <w:t>Особливості державної підтримки...</w:t>
      </w:r>
    </w:p>
    <w:p w:rsidR="00422E0F" w:rsidRDefault="00985BA9">
      <w:pPr>
        <w:pStyle w:val="a7"/>
        <w:framePr w:w="9120" w:h="782" w:hRule="exact" w:wrap="around" w:vAnchor="page" w:hAnchor="page" w:x="1561" w:y="1759"/>
        <w:shd w:val="clear" w:color="auto" w:fill="auto"/>
        <w:spacing w:before="0" w:line="259" w:lineRule="exact"/>
        <w:ind w:left="60" w:right="20" w:firstLine="280"/>
      </w:pPr>
      <w:r>
        <w:t>Розроблена методика характеризується комплексним підходом і включає шість варіантів визначення розміру державної підтримки з урахуванням рівня планування розвитку м’ясного скотарства (державний, обласний, місцевий) (табл. 1).</w:t>
      </w:r>
    </w:p>
    <w:p w:rsidR="00422E0F" w:rsidRDefault="00985BA9">
      <w:pPr>
        <w:pStyle w:val="ab"/>
        <w:framePr w:w="898" w:h="178" w:hRule="exact" w:wrap="around" w:vAnchor="page" w:hAnchor="page" w:x="9769" w:y="2710"/>
        <w:shd w:val="clear" w:color="auto" w:fill="auto"/>
        <w:spacing w:line="170" w:lineRule="exact"/>
      </w:pPr>
      <w:r>
        <w:t>Таблиця 1</w:t>
      </w:r>
    </w:p>
    <w:p w:rsidR="00422E0F" w:rsidRDefault="00985BA9">
      <w:pPr>
        <w:pStyle w:val="20"/>
        <w:framePr w:w="9115" w:h="219" w:hRule="exact" w:wrap="around" w:vAnchor="page" w:hAnchor="page" w:x="1580" w:y="3067"/>
        <w:shd w:val="clear" w:color="auto" w:fill="auto"/>
        <w:spacing w:before="0" w:after="0" w:line="190" w:lineRule="exact"/>
        <w:ind w:left="100"/>
        <w:jc w:val="left"/>
      </w:pPr>
      <w:r>
        <w:t xml:space="preserve">Планування розмірів </w:t>
      </w:r>
      <w:r>
        <w:t>бюджетної підтримки м’ясного скотарства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51"/>
        <w:gridCol w:w="4886"/>
        <w:gridCol w:w="2563"/>
      </w:tblGrid>
      <w:tr w:rsidR="00422E0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"/>
              </w:rPr>
              <w:t>Варіант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"/>
              </w:rPr>
              <w:t>Процедура здійснення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"/>
              </w:rPr>
              <w:t>Ефективність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75pt0pt"/>
              </w:rPr>
              <w:t>Розмір підтримки визначається у вигляді частки від вартості отриманої валової продукції м’ясного скотарства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Звужене відтворення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II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75pt0pt"/>
              </w:rPr>
              <w:t xml:space="preserve">Розмір підтримки встановлюється у </w:t>
            </w:r>
            <w:r>
              <w:rPr>
                <w:rStyle w:val="75pt0pt"/>
              </w:rPr>
              <w:t>вигляді частки від загального об’єму виручки отриманої від реалізації продукції м’ясного скотарства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Розширене відтворення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  <w:lang w:val="en-US" w:eastAsia="en-US" w:bidi="en-US"/>
              </w:rPr>
              <w:t>III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75pt0pt"/>
              </w:rPr>
              <w:t xml:space="preserve">Враховуючи існуючий диспаритет цін, розмір бюджетної підтримки встановлюється як частка у загальному об’ємі прямих витрат, </w:t>
            </w:r>
            <w:r>
              <w:rPr>
                <w:rStyle w:val="75pt0pt"/>
              </w:rPr>
              <w:t>пов’язаних з виробництвом м’яса яловичини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Розширене відтворення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IV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75pt0pt"/>
              </w:rPr>
              <w:t>Розмір підтримки на м’ясне скотарство у видатковій частині бюджету задається параметром скорегованим на частку галузі у виробництві валового продукту в регіональному розрізі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 xml:space="preserve">Просте </w:t>
            </w:r>
            <w:r>
              <w:rPr>
                <w:rStyle w:val="75pt0pt"/>
              </w:rPr>
              <w:t>відтворення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V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75pt0pt"/>
              </w:rPr>
              <w:t>Використання нормативного підходу при визначенні розміру бюджетної допомоги для забезпечення розширеного відтворення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Розширене відтворення</w:t>
            </w:r>
          </w:p>
        </w:tc>
      </w:tr>
      <w:tr w:rsidR="00422E0F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VI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75pt0pt"/>
              </w:rPr>
              <w:t xml:space="preserve">Врахування обсягу виробництва м’яса яловичини для забезпечення населення згідно раціональних норм </w:t>
            </w:r>
            <w:r>
              <w:rPr>
                <w:rStyle w:val="75pt0pt"/>
              </w:rPr>
              <w:t>харчування і норм мінімального споживчого кошика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E0F" w:rsidRDefault="00985BA9">
            <w:pPr>
              <w:pStyle w:val="a7"/>
              <w:framePr w:w="9101" w:h="5621" w:wrap="around" w:vAnchor="page" w:hAnchor="page" w:x="1566" w:y="3536"/>
              <w:shd w:val="clear" w:color="auto" w:fill="auto"/>
              <w:spacing w:before="0" w:line="150" w:lineRule="exact"/>
              <w:jc w:val="center"/>
            </w:pPr>
            <w:r>
              <w:rPr>
                <w:rStyle w:val="75pt0pt"/>
              </w:rPr>
              <w:t>Розширене відтворення</w:t>
            </w:r>
          </w:p>
        </w:tc>
      </w:tr>
    </w:tbl>
    <w:p w:rsidR="00422E0F" w:rsidRDefault="00985BA9">
      <w:pPr>
        <w:pStyle w:val="a7"/>
        <w:framePr w:w="9120" w:h="5809" w:hRule="exact" w:wrap="around" w:vAnchor="page" w:hAnchor="page" w:x="1561" w:y="9355"/>
        <w:shd w:val="clear" w:color="auto" w:fill="auto"/>
        <w:spacing w:before="0"/>
        <w:ind w:left="60" w:right="20" w:firstLine="280"/>
      </w:pPr>
      <w:r>
        <w:t>Пріоритетними напрямами бюджетного фінансування є такі сфери субсидування: м’ясне скотар</w:t>
      </w:r>
      <w:r>
        <w:softHyphen/>
        <w:t xml:space="preserve">ство; виробництво кормів; поліпшення земель; технічне переозброєння; будівництво тваринницьких </w:t>
      </w:r>
      <w:r>
        <w:t>приміщень.</w:t>
      </w:r>
    </w:p>
    <w:p w:rsidR="00422E0F" w:rsidRDefault="00985BA9">
      <w:pPr>
        <w:pStyle w:val="a7"/>
        <w:framePr w:w="9120" w:h="5809" w:hRule="exact" w:wrap="around" w:vAnchor="page" w:hAnchor="page" w:x="1561" w:y="9355"/>
        <w:shd w:val="clear" w:color="auto" w:fill="auto"/>
        <w:spacing w:before="0"/>
        <w:ind w:left="60" w:right="20" w:firstLine="280"/>
      </w:pPr>
      <w:r>
        <w:t>Загалом вважаємо, що підходи до визначення розмірів державної бюджетної підтримки сільсь</w:t>
      </w:r>
      <w:r>
        <w:softHyphen/>
        <w:t xml:space="preserve">когосподарських товаровиробників мають бути науково обґрунтовані й узгоджені з цілями і завданнями державних і регіональних програм розвитку </w:t>
      </w:r>
      <w:r>
        <w:t>агропромислового комплексу. Планування дотацій обов’язково має враховувати рівень продовольчого самозабезпечення населення м’ясними продуктами харчування, що буде характеризувати продовольчу незалежність як регіону, так і держави загалом.</w:t>
      </w:r>
    </w:p>
    <w:p w:rsidR="00422E0F" w:rsidRDefault="00985BA9">
      <w:pPr>
        <w:pStyle w:val="a7"/>
        <w:framePr w:w="9120" w:h="5809" w:hRule="exact" w:wrap="around" w:vAnchor="page" w:hAnchor="page" w:x="1561" w:y="9355"/>
        <w:shd w:val="clear" w:color="auto" w:fill="auto"/>
        <w:spacing w:before="0"/>
        <w:ind w:left="60" w:right="20" w:firstLine="280"/>
      </w:pPr>
      <w:r>
        <w:t>В умовах обмежено</w:t>
      </w:r>
      <w:r>
        <w:t>ї державної підтримки м’ясного скотарства особливої актуальності набувають питання кількісного зростання субсидування товаровиробників м’яса яловичини та підвищення ефективності галузі. Ці питання тісно пов’язані між собою, оскільки, з одного боку, нема се</w:t>
      </w:r>
      <w:r>
        <w:t>нсу витрачати обмежені фінансові ресурси державного бюджету, нарощуючи неефективну підтримку, з іншого боку, навіть ідеально вивірений механізм державної підтримки не зможе компенсувати її недостатній обсяг. З ефективністю державної підтримки АПК тісно пов</w:t>
      </w:r>
      <w:r>
        <w:t>’язане питання її розподілу серед потенційних одержувачів - товаровиробників м’яса яловичини. На нашу думку, здійснюючи підтримку, доцільно керуватися не тільки принципом розподілу матеріальної допомоги на підставі показників економічної ефективності вироб</w:t>
      </w:r>
      <w:r>
        <w:t>ництва або його фізичного обсягу, а й принципом мінімально необхідного соціаль</w:t>
      </w:r>
      <w:r>
        <w:softHyphen/>
        <w:t>ного ефекту. Оскільки розвиток і власне існування більшості сільських населених пунктів безпосе</w:t>
      </w:r>
      <w:r>
        <w:softHyphen/>
        <w:t>редньо залежить від діяльності сільськогосподарських підприємств, доцільно розпод</w:t>
      </w:r>
      <w:r>
        <w:t>іляти підтримку таким чином, щоб забезпечити утримання «на плаву» навіть збиткових сільськогосподарських підприємств, поєднуючи із заходами щодоусунення причин їх неефективної господарської діяльності.</w:t>
      </w:r>
    </w:p>
    <w:p w:rsidR="00422E0F" w:rsidRDefault="00985BA9">
      <w:pPr>
        <w:pStyle w:val="a7"/>
        <w:framePr w:w="9120" w:h="5809" w:hRule="exact" w:wrap="around" w:vAnchor="page" w:hAnchor="page" w:x="1561" w:y="9355"/>
        <w:shd w:val="clear" w:color="auto" w:fill="auto"/>
        <w:spacing w:before="0"/>
        <w:ind w:left="60" w:right="20" w:firstLine="280"/>
      </w:pPr>
      <w:r>
        <w:t>Причиною подібного підходу в наданні підтримки є те, щ</w:t>
      </w:r>
      <w:r>
        <w:t>о в сільській місцевості доволі складно організувати робочі місця, не пов’язані з аграрною сферою, зокрема тваринництвом. їх створення</w:t>
      </w:r>
    </w:p>
    <w:p w:rsidR="00422E0F" w:rsidRDefault="00985BA9">
      <w:pPr>
        <w:pStyle w:val="a5"/>
        <w:framePr w:wrap="around" w:vAnchor="page" w:hAnchor="page" w:x="1561" w:y="15578"/>
        <w:shd w:val="clear" w:color="auto" w:fill="auto"/>
        <w:spacing w:after="0" w:line="170" w:lineRule="exact"/>
        <w:ind w:left="20"/>
        <w:jc w:val="left"/>
      </w:pPr>
      <w:r>
        <w:t>44</w:t>
      </w:r>
    </w:p>
    <w:p w:rsidR="00422E0F" w:rsidRDefault="00985BA9">
      <w:pPr>
        <w:pStyle w:val="22"/>
        <w:framePr w:wrap="around" w:vAnchor="page" w:hAnchor="page" w:x="8492" w:y="15584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a5"/>
        <w:framePr w:w="9144" w:h="461" w:hRule="exact" w:wrap="around" w:vAnchor="page" w:hAnchor="page" w:x="1547" w:y="1054"/>
        <w:shd w:val="clear" w:color="auto" w:fill="auto"/>
        <w:spacing w:after="34" w:line="170" w:lineRule="exact"/>
        <w:ind w:right="20"/>
      </w:pPr>
      <w:r>
        <w:lastRenderedPageBreak/>
        <w:t>Управління розвитком соціально-економічних систем</w:t>
      </w:r>
    </w:p>
    <w:p w:rsidR="00422E0F" w:rsidRDefault="00985BA9">
      <w:pPr>
        <w:pStyle w:val="a5"/>
        <w:framePr w:w="9144" w:h="461" w:hRule="exact" w:wrap="around" w:vAnchor="page" w:hAnchor="page" w:x="1547" w:y="1054"/>
        <w:shd w:val="clear" w:color="auto" w:fill="auto"/>
        <w:spacing w:after="0" w:line="170" w:lineRule="exact"/>
        <w:ind w:right="20"/>
      </w:pPr>
      <w:r>
        <w:t xml:space="preserve">мікро-, мезо- та </w:t>
      </w:r>
      <w:r>
        <w:t>макрорівня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60" w:right="20"/>
      </w:pPr>
      <w:r>
        <w:t>потребує значних капіталовкладень що є ризиковою справою. На нашу думку, краще виправляти ситуацію на існуючому підприємстві, ніждопустити його зникнення, а потім піднімати виробництво і село, яке без роботи в найкоротші терміни деградує «з нуля</w:t>
      </w:r>
      <w:r>
        <w:t>».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20" w:right="20" w:firstLine="280"/>
      </w:pPr>
      <w:r>
        <w:t>Проведені нами дослідження існуючої у м’ясному скотарстві практики субсидування товарови</w:t>
      </w:r>
      <w:r>
        <w:softHyphen/>
        <w:t>робників м’яса яловичини дали змогу розробити ряд теоретико-методологічних положень, спрямо</w:t>
      </w:r>
      <w:r>
        <w:softHyphen/>
        <w:t>ваних на більш ефективне використання цих коштів. Зокрема, при здійсненн</w:t>
      </w:r>
      <w:r>
        <w:t>і прямої бюджетної підтримки м’ясного скотарства ми пропонуємо перейти до мультикомпонентного субсидування товаровиробників м’яса яловичини. Перший компонент субсидії, котрий порівняно з наступним має невеликий за обсягом розмір, передбачається перераховув</w:t>
      </w:r>
      <w:r>
        <w:t>ати на розрахункові рахунки товаро- виробника-одержувача, і яким він може розпоряджатися на свій розсуд: реінвестувати у виробництво, залучати оборотні засоби виробництва, витрачати для оплати і стимулювання праці на підприємстві.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20" w:right="20" w:firstLine="280"/>
      </w:pPr>
      <w:r>
        <w:t>Другий компонент моделі п</w:t>
      </w:r>
      <w:r>
        <w:t>рямої бюджетної підтримки м’ясного скотарства слід охарактеризувати як безготівкову цільову субсидію, що перераховується на спеціальний відкритий рахуноктоваро- виробника. Підприємство може розпоряджатися коштами з цього рахунку лише стосовно таких операці</w:t>
      </w:r>
      <w:r>
        <w:t xml:space="preserve">й: придбання племінної худоби; закупівля доз сперми для відтворення основного стада; сплата отриманих кредитів і відсотків за ними; підготовка і перепідготовка фахівці в технологічного спрямування; будівництво, реконструкція та капітальний ремонт об’єктів </w:t>
      </w:r>
      <w:r>
        <w:t>основних засобів; фінансування проведення прикладних наукових досліджень щодо підвищення ефективності виробничо-господарської діяльності товаровиробника - одержувача державної субсидії.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20" w:right="20" w:firstLine="280"/>
      </w:pPr>
      <w:r>
        <w:t>До сильних сторін другого компонента державної субсидії можна зарахува</w:t>
      </w:r>
      <w:r>
        <w:t>ти такі: контроль за розпоряджанням наданої субсидії з боку державних органів влади, зокрема управління агропро</w:t>
      </w:r>
      <w:r>
        <w:softHyphen/>
        <w:t>мислового розвитку району і області; цільове використання коштів державного бюджету; концентрація фінансових ресурсів на пріоритетних цілях розв</w:t>
      </w:r>
      <w:r>
        <w:t>итку м’ясного скотарства; відносну самостійність щодо можливості товаровиробника за погодженням із державними органами влади визначати нагальні питання виробничо-господарськоїдіяльності: «що робити», «як виробляти» і «для кого виробляти»?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20" w:right="20" w:firstLine="280"/>
      </w:pPr>
      <w:r>
        <w:t>Посилення економі</w:t>
      </w:r>
      <w:r>
        <w:t>чно обґрунтованого державного регулювання та справедлива державна підтримка м’ясного скотарства мають встановити такий порядок використання другого компонента субсидії, який би сприяв досягненню максимально корисного ефекту для національної економіки загал</w:t>
      </w:r>
      <w:r>
        <w:t>ом і для галузі тваринництва зокрема. Застосовуючи методологічний підхід ефекту мультиплікатора для галузей національної економіки, слід очікувати, що найбільш раціональним використанням другого компонента державної субсидії є придбання основних засобів ві</w:t>
      </w:r>
      <w:r>
        <w:t>тчизняного виробництва, що приведе до максимального розширення попиту на останні. Тому доцільним є вста</w:t>
      </w:r>
      <w:r>
        <w:softHyphen/>
        <w:t>новлення у відсотках до загальної суми другого компонента державної субсидії - нормативу використання коштів на придбання вітчизняної продукції. Подібни</w:t>
      </w:r>
      <w:r>
        <w:t>й розподіл коштів другого компонента гарантує попит з боку м’ясного скотарства на продукцію вітчизняних галузей. Обмеження імпорту сприятиме нарощуванню власних потужностей, що дасть поштовх системному розвитку суміжних галузей і сприятиме досягненню стійк</w:t>
      </w:r>
      <w:r>
        <w:t>ого розвитку тваринництва загалом і м’ясного скотарства зокрема.</w:t>
      </w:r>
    </w:p>
    <w:p w:rsidR="00422E0F" w:rsidRDefault="00985BA9">
      <w:pPr>
        <w:pStyle w:val="a7"/>
        <w:framePr w:w="9082" w:h="13282" w:hRule="exact" w:wrap="around" w:vAnchor="page" w:hAnchor="page" w:x="1571" w:y="1762"/>
        <w:shd w:val="clear" w:color="auto" w:fill="auto"/>
        <w:spacing w:before="0"/>
        <w:ind w:left="20" w:right="20" w:firstLine="280"/>
      </w:pPr>
      <w:r>
        <w:t>Перевагами мультикомпонентного субсидування товаровиробників м’яса яловичини порівняно з класичною формою субсидії як економічної компенсації виробничих витрат є такі:</w:t>
      </w:r>
    </w:p>
    <w:p w:rsidR="00422E0F" w:rsidRDefault="00985BA9">
      <w:pPr>
        <w:pStyle w:val="a7"/>
        <w:framePr w:w="9082" w:h="13282" w:hRule="exact" w:wrap="around" w:vAnchor="page" w:hAnchor="page" w:x="1571" w:y="1762"/>
        <w:numPr>
          <w:ilvl w:val="0"/>
          <w:numId w:val="1"/>
        </w:numPr>
        <w:shd w:val="clear" w:color="auto" w:fill="auto"/>
        <w:spacing w:before="0"/>
        <w:ind w:left="20" w:right="20" w:firstLine="280"/>
      </w:pPr>
      <w:r>
        <w:t xml:space="preserve"> поділ субсидії на окремі складові компоненти дає змогу вирішити проблему підвищення стимулу до опортуністичної поведінки одержувачів субсидії при збільшенні витрат на субсидування з боку державних органів. Нарощування обсягу класичних субсидій, що компенс</w:t>
      </w:r>
      <w:r>
        <w:t>ують витрати, може послабити стимули до підвищення ефективності виробництва й заощадження ресурсів і сприяти завищенню витрат. Саме тому поділ мультикомпонентної субсидії товаровиробникам м’яса яловичини на окремі складові з різною динамікою граничної схил</w:t>
      </w:r>
      <w:r>
        <w:t>ьності до опортуністичного поведінки може певною мірою згладити цю проблему;</w:t>
      </w:r>
    </w:p>
    <w:p w:rsidR="00422E0F" w:rsidRDefault="00985BA9">
      <w:pPr>
        <w:pStyle w:val="a7"/>
        <w:framePr w:w="9082" w:h="13282" w:hRule="exact" w:wrap="around" w:vAnchor="page" w:hAnchor="page" w:x="1571" w:y="1762"/>
        <w:numPr>
          <w:ilvl w:val="0"/>
          <w:numId w:val="1"/>
        </w:numPr>
        <w:shd w:val="clear" w:color="auto" w:fill="auto"/>
        <w:spacing w:before="0"/>
        <w:ind w:left="20" w:right="20" w:firstLine="280"/>
      </w:pPr>
      <w:r>
        <w:t xml:space="preserve"> створюються умови для досягнення більш раціональної структури використання державної підтримки 'її одержувачами. На відміну від класичного випадку, при якому розподіл підтримки н</w:t>
      </w:r>
      <w:r>
        <w:t>а компенсацію витрачених засобів виробництва залишено на розсуд одержувача підтримки, виходячи з передумови про раціональність економічних рішень, прийнятих товаровиробниками, мультиком- понентне субсидування ґрунтується на передумові про недосяжність у да</w:t>
      </w:r>
      <w:r>
        <w:t>них конкретно-виробничих умовах повністю раціональної поведінки об’єктів державної підтримки і обмеженість всеосяжного державного регулювання галузей сільського господарства;</w:t>
      </w:r>
    </w:p>
    <w:p w:rsidR="00422E0F" w:rsidRDefault="00985BA9">
      <w:pPr>
        <w:pStyle w:val="22"/>
        <w:framePr w:wrap="around" w:vAnchor="page" w:hAnchor="page" w:x="1561" w:y="15579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985BA9">
      <w:pPr>
        <w:pStyle w:val="a5"/>
        <w:framePr w:wrap="around" w:vAnchor="page" w:hAnchor="page" w:x="10436" w:y="15602"/>
        <w:shd w:val="clear" w:color="auto" w:fill="auto"/>
        <w:spacing w:after="0" w:line="170" w:lineRule="exact"/>
        <w:ind w:left="20"/>
        <w:jc w:val="left"/>
      </w:pPr>
      <w:r>
        <w:t>45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32"/>
        <w:framePr w:w="9130" w:h="432" w:hRule="exact" w:wrap="around" w:vAnchor="page" w:hAnchor="page" w:x="1556" w:y="1105"/>
        <w:shd w:val="clear" w:color="auto" w:fill="auto"/>
        <w:spacing w:after="45" w:line="140" w:lineRule="exact"/>
        <w:ind w:left="60"/>
      </w:pPr>
      <w:r>
        <w:lastRenderedPageBreak/>
        <w:t>П. Пуцентейло</w:t>
      </w:r>
    </w:p>
    <w:p w:rsidR="00422E0F" w:rsidRDefault="00985BA9">
      <w:pPr>
        <w:pStyle w:val="a5"/>
        <w:framePr w:w="9130" w:h="432" w:hRule="exact" w:wrap="around" w:vAnchor="page" w:hAnchor="page" w:x="1556" w:y="1105"/>
        <w:shd w:val="clear" w:color="auto" w:fill="auto"/>
        <w:spacing w:after="0" w:line="170" w:lineRule="exact"/>
        <w:ind w:left="60"/>
        <w:jc w:val="left"/>
      </w:pPr>
      <w:r>
        <w:t>Особливості дер</w:t>
      </w:r>
      <w:r>
        <w:t>жавної підтримки...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 xml:space="preserve">- субсидування лише виробленої товарної продукції м’ясного скотарства дає змогу відділити обсяг державної підтримки від отриманих товаровиробниками витрат господарської діяльності і стимулювати підвищення конкурентоспроможності. Отже, </w:t>
      </w:r>
      <w:r>
        <w:t>за необхідності можна встановлювати необхідну величину другого компонента державної допомоги на більш високому рівні, що зумовить підвищення ефектив</w:t>
      </w:r>
      <w:r>
        <w:softHyphen/>
        <w:t>ності галузі м’ясного скотарства.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>З метою модернізації національної системи державної підтримки м’ясного ск</w:t>
      </w:r>
      <w:r>
        <w:t>отарства в контексті сучасних викликів глобального середовища необхідно, з одного боку, визначити оптимальний розмір другого компонента державної субсидії, з іншого - пошук найбільш раціональних нормативів розподілу другого компонента державної субсидії мі</w:t>
      </w:r>
      <w:r>
        <w:t>жтоваровиробниками яловичини різних форм власності і розмірів господарств, що зумовить гнучке корегування підходів для надання реальної допомоги з метою ефективного розвитку і функціонування галузі. Варто зазначити, що залежно від ефективності розвитку м’я</w:t>
      </w:r>
      <w:r>
        <w:t>сного скотарства в регіоні будуть змінюватися й оптимальні значення нормативу, котрий буде визначати реальний обсяг державної субсидії товаровиробникам.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>Важливим елементом розробки й ефективності функціонування державної підтримки м’ясного скотарства висту</w:t>
      </w:r>
      <w:r>
        <w:t>пає планування розміру державних дотацій. Розмір державної підтримки має бути тісно пов’язаний з кінцевими результатами виробництва, нормативами затрат і забезпечувати раціональне споживання м’яса яловичини населенням. Соціально й економічно виправданим вв</w:t>
      </w:r>
      <w:r>
        <w:t>а</w:t>
      </w:r>
      <w:r>
        <w:softHyphen/>
        <w:t>жаємо підхід у визначенні обсягів бюджетного фінансування, який будується, виходячи з необхідного обсягу виробництва сільськогосподарської продукції для забезпечення населення продовольством (за нормами мінімального споживчого кошика і за раціональними н</w:t>
      </w:r>
      <w:r>
        <w:t>ормами харчування).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>За кожним із варіантів розраховується потреба в основних видах ресурсів. Визначається потреба в кормах, пально-мастильних матеріалах, сільськогосподарській техніці та обладнанні, виробничо- технічних спорудах, обґрунтовуються обсяги фін</w:t>
      </w:r>
      <w:r>
        <w:t>ансування робіт з поліпшення стада великої рогатої худоби, розглядаються й інші необхідні галузеві напрями. Розраховується також потреба у кваліфікованих робітничих кадрах та фахівцях. При обґрунтуванні потреби виробництва продукції тваринництва для переро</w:t>
      </w:r>
      <w:r>
        <w:t>бних галузей розраховують необхідні потужності, потребу в сировині та інші види витрат. Аналогічні розрахунки проводяться за обслуговуючими галузями, що передбачає обов’язкове складання продовольчих і ресурсних балансів та планування на їх основі потужност</w:t>
      </w:r>
      <w:r>
        <w:t>ей для переробки необхідної сировини. При розрахунках можливих обсягів виробництва м’яса яловичини обов’язково розробляються прогнози щодо особистих селянських та фермерських господарств. Порівняльний аналіз розроблених варіантів розвитку м’ясного скотарст</w:t>
      </w:r>
      <w:r>
        <w:t>ва дає змогу визначити реальні можливості збільшення виробництва яловичини та допоміжної сировини на плановий період.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>Чітка структурна політика держави має бути спрямована на розвиток аграрного виробництва і зростання кількості конкурентоспроможних підприє</w:t>
      </w:r>
      <w:r>
        <w:t>мств м’ясного скотарства, котрі зможуть швидко адаптуватись до викликів ринкової кон’юнктури і забезпечити зростання інноваційно-інвестиційної діяльності. Одним із головних завдань державного регулювання аграрного сектору є забезпечення ефективної взаємоді</w:t>
      </w:r>
      <w:r>
        <w:t>ї різних організаційно-правових форм сільськогосподарських підприємств і оптимальнихтемпів їх розвитку. Це сприятиме підвищенню конкурентоспроможності продукції м’яс</w:t>
      </w:r>
      <w:r>
        <w:softHyphen/>
        <w:t>ного скотарства на основі поліпшення її якості, зменшенні затрат на виробництво за допомог</w:t>
      </w:r>
      <w:r>
        <w:t>ою вико</w:t>
      </w:r>
      <w:r>
        <w:softHyphen/>
        <w:t>ристання наукоємнихагротехнологій і сучасного технічного забезпечення. Підвищення конкуренто</w:t>
      </w:r>
      <w:r>
        <w:softHyphen/>
        <w:t>спроможності м’ясного скотарства буде сприяти сталому розвитку сільських територій.</w:t>
      </w:r>
    </w:p>
    <w:p w:rsidR="00422E0F" w:rsidRDefault="00985BA9">
      <w:pPr>
        <w:pStyle w:val="a7"/>
        <w:framePr w:w="9082" w:h="13282" w:hRule="exact" w:wrap="around" w:vAnchor="page" w:hAnchor="page" w:x="1580" w:y="1764"/>
        <w:shd w:val="clear" w:color="auto" w:fill="auto"/>
        <w:spacing w:before="0"/>
        <w:ind w:left="20" w:right="20" w:firstLine="280"/>
      </w:pPr>
      <w:r>
        <w:t>Місія державного регулювання м’ясного скотарства України має бути спрям</w:t>
      </w:r>
      <w:r>
        <w:t>ована на створення організаційно-економічних векторів конкурентоспроможного розвитку галузі, насамперед через формування ефективної цінової, фінансово-бюджетної та кредитної політик, забезпечення виробницт</w:t>
      </w:r>
      <w:r>
        <w:softHyphen/>
        <w:t>ва м’яса яловичини в обсягах, які відповідають нор</w:t>
      </w:r>
      <w:r>
        <w:t>мам державної продовольчої безпеки і дають змогу 'її експорту за кордон. Необхідна ефективна побудова системи державного управління, як галузевого, так і місцевого рівнів, що дасть змогу визначати вплив кожного з них на конкурен</w:t>
      </w:r>
      <w:r>
        <w:softHyphen/>
        <w:t>тоспроможний розвиток об’єк</w:t>
      </w:r>
      <w:r>
        <w:t>та дослідження і розробляти механізм регулювання та підтримки на державному і локальному рівнях. На галузевому рівні слід формувати систему базових законів, визначати стратегію розвитку м’ясного скотарства і її пріоритети у певному часовому періоді, розроб</w:t>
      </w:r>
      <w:r>
        <w:t>ляти механізми державного регулювання і підтримки товаровиробників м’яса яловичини. Місцевий рівень управління повинен мати локальне спрямування на суб’єктів господарювання через призму організаційно-економічних і фінансово-бюджетних відносин.</w:t>
      </w:r>
    </w:p>
    <w:p w:rsidR="00422E0F" w:rsidRDefault="00985BA9">
      <w:pPr>
        <w:pStyle w:val="a5"/>
        <w:framePr w:wrap="around" w:vAnchor="page" w:hAnchor="page" w:x="1542" w:y="15580"/>
        <w:shd w:val="clear" w:color="auto" w:fill="auto"/>
        <w:spacing w:after="0" w:line="170" w:lineRule="exact"/>
        <w:ind w:left="20"/>
        <w:jc w:val="left"/>
      </w:pPr>
      <w:r>
        <w:t>46</w:t>
      </w:r>
    </w:p>
    <w:p w:rsidR="00422E0F" w:rsidRDefault="00985BA9">
      <w:pPr>
        <w:pStyle w:val="22"/>
        <w:framePr w:wrap="around" w:vAnchor="page" w:hAnchor="page" w:x="8473" w:y="15586"/>
        <w:shd w:val="clear" w:color="auto" w:fill="auto"/>
        <w:spacing w:line="130" w:lineRule="exact"/>
        <w:ind w:left="20"/>
      </w:pPr>
      <w:r>
        <w:t>Наука мол</w:t>
      </w:r>
      <w:r>
        <w:t>ода № 19, 2013 р.</w:t>
      </w:r>
    </w:p>
    <w:p w:rsidR="00422E0F" w:rsidRDefault="00422E0F">
      <w:pPr>
        <w:rPr>
          <w:sz w:val="2"/>
          <w:szCs w:val="2"/>
        </w:rPr>
        <w:sectPr w:rsidR="00422E0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2E0F" w:rsidRDefault="00985BA9">
      <w:pPr>
        <w:pStyle w:val="a5"/>
        <w:framePr w:w="5400" w:h="490" w:hRule="exact" w:wrap="around" w:vAnchor="page" w:hAnchor="page" w:x="5118" w:y="1018"/>
        <w:shd w:val="clear" w:color="auto" w:fill="auto"/>
        <w:spacing w:after="34" w:line="170" w:lineRule="exact"/>
        <w:ind w:right="40"/>
      </w:pPr>
      <w:r>
        <w:lastRenderedPageBreak/>
        <w:t>Управління розвитком соціально-економічних систем</w:t>
      </w:r>
    </w:p>
    <w:p w:rsidR="00422E0F" w:rsidRDefault="00985BA9">
      <w:pPr>
        <w:pStyle w:val="a5"/>
        <w:framePr w:w="5400" w:h="490" w:hRule="exact" w:wrap="around" w:vAnchor="page" w:hAnchor="page" w:x="5118" w:y="1018"/>
        <w:shd w:val="clear" w:color="auto" w:fill="auto"/>
        <w:spacing w:after="0" w:line="170" w:lineRule="exact"/>
        <w:ind w:right="40"/>
      </w:pPr>
      <w:r>
        <w:t>мікро-, мезо- та макрорівня</w:t>
      </w:r>
    </w:p>
    <w:p w:rsidR="00422E0F" w:rsidRDefault="00985BA9">
      <w:pPr>
        <w:pStyle w:val="50"/>
        <w:framePr w:w="8760" w:h="5685" w:hRule="exact" w:wrap="around" w:vAnchor="page" w:hAnchor="page" w:x="1734" w:y="2228"/>
        <w:shd w:val="clear" w:color="auto" w:fill="auto"/>
        <w:spacing w:after="146" w:line="190" w:lineRule="exact"/>
        <w:ind w:left="3580"/>
      </w:pPr>
      <w:r>
        <w:t>Література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Бакуменко В. Д. Формування державно-управлінських рішень: проблеми теорії, методо</w:t>
      </w:r>
      <w:r>
        <w:softHyphen/>
      </w:r>
      <w:r>
        <w:t xml:space="preserve">логії, практики: моногр. / В. Д. Бакуменко. - К.: </w:t>
      </w:r>
      <w:r>
        <w:rPr>
          <w:lang w:val="en-US" w:eastAsia="en-US" w:bidi="en-US"/>
        </w:rPr>
        <w:t>Bud</w:t>
      </w:r>
      <w:r>
        <w:t>-во УАДУ, 2000. - 328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Вітков М. С. Інтенсифікація сільськогосподарського виробництва на інноваційній ос</w:t>
      </w:r>
      <w:r>
        <w:softHyphen/>
        <w:t>нові : моногр. / М. С. Вітков. - К. : ННЦІАЕ, 2008. - 220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Кваша С. М. Механізм підтримки сі</w:t>
      </w:r>
      <w:r>
        <w:t>льськогосподарського виробництва та шляхи його удосконалення: моногр. / С. М. Кваша, О. Д. Витвицька, К. В. Наконечна. - К.: ННЦ ІАЕ, 2009. - 200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Лопатинський Ю. М. Трансформація аграрного сектора: інституціональні засади : моногр. /Ю. М. Лопатинський.</w:t>
      </w:r>
      <w:r>
        <w:t xml:space="preserve"> - Чернівці: Рута, 2006. - 344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Могильний О. М. Регулювання аграрно!'сфери: моногр. / О. М. Могильний. - Ужгород: ІВА, 2005. - 400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Одінцов М. М. Формування і розвиток ринку продуктів тваринництва: моногр. / М. М. Одін- цов. - Черкаси: Брама-Украіна,</w:t>
      </w:r>
      <w:r>
        <w:t xml:space="preserve"> 2009. - 296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ШкварчукЛ. О. Державне регулювання цін на продовольчому ринку: моногр. / Л. О. Шквар- чук. - Львів : Простір-М, 2008. - 356 с.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Семенова Н. Н. Направления государственной поддержки аграрного сектора зкономики в зарубежньїх странах / Н. Н. Семенова // Аграрньїй вестник Урала. - 2010. - № 1 (67). - С. 14-17.</w:t>
      </w:r>
    </w:p>
    <w:p w:rsidR="00422E0F" w:rsidRDefault="00985BA9">
      <w:pPr>
        <w:pStyle w:val="30"/>
        <w:framePr w:w="8760" w:h="5685" w:hRule="exact" w:wrap="around" w:vAnchor="page" w:hAnchor="page" w:x="1734" w:y="2228"/>
        <w:numPr>
          <w:ilvl w:val="0"/>
          <w:numId w:val="2"/>
        </w:numPr>
        <w:shd w:val="clear" w:color="auto" w:fill="auto"/>
        <w:spacing w:before="0" w:after="0"/>
        <w:ind w:left="400" w:right="20"/>
      </w:pPr>
      <w:r>
        <w:t xml:space="preserve"> Колесняк А. А. Продовольственная стратегия развитьіх стран мира</w:t>
      </w:r>
      <w:r>
        <w:rPr>
          <w:rStyle w:val="30pt"/>
        </w:rPr>
        <w:t xml:space="preserve"> / </w:t>
      </w:r>
      <w:r>
        <w:t>А. А. Ко</w:t>
      </w:r>
      <w:r>
        <w:t>лесняк, Т. В. Полозова // Вестник Краснодарского государственного аграрного университета. - 2009. - № 2. - С. 3-7.</w:t>
      </w:r>
    </w:p>
    <w:p w:rsidR="00422E0F" w:rsidRDefault="00985BA9">
      <w:pPr>
        <w:pStyle w:val="22"/>
        <w:framePr w:wrap="around" w:vAnchor="page" w:hAnchor="page" w:x="1403" w:y="15524"/>
        <w:shd w:val="clear" w:color="auto" w:fill="auto"/>
        <w:spacing w:line="130" w:lineRule="exact"/>
        <w:ind w:left="20"/>
      </w:pPr>
      <w:r>
        <w:t>Наука молода № 19, 2013 р.</w:t>
      </w:r>
    </w:p>
    <w:p w:rsidR="00422E0F" w:rsidRDefault="00985BA9">
      <w:pPr>
        <w:pStyle w:val="a5"/>
        <w:framePr w:wrap="around" w:vAnchor="page" w:hAnchor="page" w:x="10278" w:y="15547"/>
        <w:shd w:val="clear" w:color="auto" w:fill="auto"/>
        <w:spacing w:after="0" w:line="170" w:lineRule="exact"/>
        <w:ind w:left="20"/>
        <w:jc w:val="left"/>
      </w:pPr>
      <w:r>
        <w:t>47</w:t>
      </w:r>
    </w:p>
    <w:p w:rsidR="00422E0F" w:rsidRDefault="00422E0F">
      <w:pPr>
        <w:rPr>
          <w:sz w:val="2"/>
          <w:szCs w:val="2"/>
        </w:rPr>
      </w:pPr>
    </w:p>
    <w:sectPr w:rsidR="00422E0F" w:rsidSect="00422E0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BA9" w:rsidRDefault="00985BA9" w:rsidP="00422E0F">
      <w:r>
        <w:separator/>
      </w:r>
    </w:p>
  </w:endnote>
  <w:endnote w:type="continuationSeparator" w:id="1">
    <w:p w:rsidR="00985BA9" w:rsidRDefault="00985BA9" w:rsidP="0042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BA9" w:rsidRDefault="00985BA9"/>
  </w:footnote>
  <w:footnote w:type="continuationSeparator" w:id="1">
    <w:p w:rsidR="00985BA9" w:rsidRDefault="00985B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D10"/>
    <w:multiLevelType w:val="multilevel"/>
    <w:tmpl w:val="0F7A01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4724AD"/>
    <w:multiLevelType w:val="multilevel"/>
    <w:tmpl w:val="87380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22E0F"/>
    <w:rsid w:val="00137C15"/>
    <w:rsid w:val="00422E0F"/>
    <w:rsid w:val="0098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2E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2E0F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422E0F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422E0F"/>
    <w:rPr>
      <w:rFonts w:ascii="Arial" w:eastAsia="Arial" w:hAnsi="Arial" w:cs="Arial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2">
    <w:name w:val="Основний текст (2)_"/>
    <w:basedOn w:val="a0"/>
    <w:link w:val="20"/>
    <w:rsid w:val="00422E0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ий текст (3)_"/>
    <w:basedOn w:val="a0"/>
    <w:link w:val="30"/>
    <w:rsid w:val="00422E0F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30pt">
    <w:name w:val="Основний текст (3) + Не курсив;Інтервал 0 pt"/>
    <w:basedOn w:val="3"/>
    <w:rsid w:val="00422E0F"/>
    <w:rPr>
      <w:i/>
      <w:iCs/>
      <w:color w:val="000000"/>
      <w:spacing w:val="2"/>
      <w:w w:val="100"/>
      <w:position w:val="0"/>
      <w:lang w:val="uk-UA" w:eastAsia="uk-UA" w:bidi="uk-UA"/>
    </w:rPr>
  </w:style>
  <w:style w:type="character" w:customStyle="1" w:styleId="a6">
    <w:name w:val="Основний текст_"/>
    <w:basedOn w:val="a0"/>
    <w:link w:val="a7"/>
    <w:rsid w:val="00422E0F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4">
    <w:name w:val="Основний текст (4)_"/>
    <w:basedOn w:val="a0"/>
    <w:link w:val="40"/>
    <w:rsid w:val="00422E0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422E0F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31">
    <w:name w:val="Колонтитул (3)_"/>
    <w:basedOn w:val="a0"/>
    <w:link w:val="32"/>
    <w:rsid w:val="00422E0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8">
    <w:name w:val="Підпис до зображення_"/>
    <w:basedOn w:val="a0"/>
    <w:link w:val="a9"/>
    <w:rsid w:val="00422E0F"/>
    <w:rPr>
      <w:rFonts w:ascii="Arial" w:eastAsia="Arial" w:hAnsi="Arial" w:cs="Arial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0pt">
    <w:name w:val="Підпис до зображення + Не курсив;Інтервал 0 pt"/>
    <w:basedOn w:val="a8"/>
    <w:rsid w:val="00422E0F"/>
    <w:rPr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aa">
    <w:name w:val="Підпис до таблиці_"/>
    <w:basedOn w:val="a0"/>
    <w:link w:val="ab"/>
    <w:rsid w:val="00422E0F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75pt">
    <w:name w:val="Основний текст + 7;5 pt;Напівжирний"/>
    <w:basedOn w:val="a6"/>
    <w:rsid w:val="00422E0F"/>
    <w:rPr>
      <w:b/>
      <w:bCs/>
      <w:color w:val="000000"/>
      <w:w w:val="100"/>
      <w:position w:val="0"/>
      <w:sz w:val="15"/>
      <w:szCs w:val="15"/>
      <w:lang w:val="uk-UA" w:eastAsia="uk-UA" w:bidi="uk-UA"/>
    </w:rPr>
  </w:style>
  <w:style w:type="character" w:customStyle="1" w:styleId="75pt0pt">
    <w:name w:val="Основний текст + 7;5 pt;Інтервал 0 pt"/>
    <w:basedOn w:val="a6"/>
    <w:rsid w:val="00422E0F"/>
    <w:rPr>
      <w:color w:val="000000"/>
      <w:spacing w:val="5"/>
      <w:w w:val="100"/>
      <w:position w:val="0"/>
      <w:sz w:val="15"/>
      <w:szCs w:val="15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422E0F"/>
    <w:rPr>
      <w:rFonts w:ascii="Arial" w:eastAsia="Arial" w:hAnsi="Arial" w:cs="Arial"/>
      <w:b/>
      <w:bCs/>
      <w:i/>
      <w:iCs/>
      <w:smallCaps w:val="0"/>
      <w:strike w:val="0"/>
      <w:spacing w:val="-1"/>
      <w:sz w:val="19"/>
      <w:szCs w:val="19"/>
      <w:u w:val="none"/>
    </w:rPr>
  </w:style>
  <w:style w:type="paragraph" w:customStyle="1" w:styleId="a5">
    <w:name w:val="Колонтитул"/>
    <w:basedOn w:val="a"/>
    <w:link w:val="a4"/>
    <w:rsid w:val="00422E0F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10">
    <w:name w:val="Заголовок №1"/>
    <w:basedOn w:val="a"/>
    <w:link w:val="1"/>
    <w:rsid w:val="00422E0F"/>
    <w:pPr>
      <w:shd w:val="clear" w:color="auto" w:fill="FFFFFF"/>
      <w:spacing w:after="480" w:line="0" w:lineRule="atLeast"/>
      <w:jc w:val="right"/>
      <w:outlineLvl w:val="0"/>
    </w:pPr>
    <w:rPr>
      <w:rFonts w:ascii="Arial" w:eastAsia="Arial" w:hAnsi="Arial" w:cs="Arial"/>
      <w:b/>
      <w:bCs/>
      <w:i/>
      <w:iCs/>
      <w:spacing w:val="-1"/>
      <w:sz w:val="19"/>
      <w:szCs w:val="19"/>
    </w:rPr>
  </w:style>
  <w:style w:type="paragraph" w:customStyle="1" w:styleId="20">
    <w:name w:val="Основний текст (2)"/>
    <w:basedOn w:val="a"/>
    <w:link w:val="2"/>
    <w:rsid w:val="00422E0F"/>
    <w:pPr>
      <w:shd w:val="clear" w:color="auto" w:fill="FFFFFF"/>
      <w:spacing w:before="480" w:after="180" w:line="30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30">
    <w:name w:val="Основний текст (3)"/>
    <w:basedOn w:val="a"/>
    <w:link w:val="3"/>
    <w:rsid w:val="00422E0F"/>
    <w:pPr>
      <w:shd w:val="clear" w:color="auto" w:fill="FFFFFF"/>
      <w:spacing w:before="180" w:after="180" w:line="250" w:lineRule="exact"/>
      <w:ind w:hanging="400"/>
      <w:jc w:val="both"/>
    </w:pPr>
    <w:rPr>
      <w:rFonts w:ascii="Arial" w:eastAsia="Arial" w:hAnsi="Arial" w:cs="Arial"/>
      <w:i/>
      <w:iCs/>
      <w:spacing w:val="1"/>
      <w:sz w:val="17"/>
      <w:szCs w:val="17"/>
    </w:rPr>
  </w:style>
  <w:style w:type="paragraph" w:customStyle="1" w:styleId="a7">
    <w:name w:val="Основний текст"/>
    <w:basedOn w:val="a"/>
    <w:link w:val="a6"/>
    <w:rsid w:val="00422E0F"/>
    <w:pPr>
      <w:shd w:val="clear" w:color="auto" w:fill="FFFFFF"/>
      <w:spacing w:before="180" w:line="250" w:lineRule="exact"/>
      <w:jc w:val="both"/>
    </w:pPr>
    <w:rPr>
      <w:rFonts w:ascii="Arial" w:eastAsia="Arial" w:hAnsi="Arial" w:cs="Arial"/>
      <w:spacing w:val="2"/>
      <w:sz w:val="17"/>
      <w:szCs w:val="17"/>
    </w:rPr>
  </w:style>
  <w:style w:type="paragraph" w:customStyle="1" w:styleId="40">
    <w:name w:val="Основний текст (4)"/>
    <w:basedOn w:val="a"/>
    <w:link w:val="4"/>
    <w:rsid w:val="00422E0F"/>
    <w:pPr>
      <w:shd w:val="clear" w:color="auto" w:fill="FFFFFF"/>
      <w:spacing w:before="180" w:line="0" w:lineRule="atLeast"/>
      <w:jc w:val="both"/>
    </w:pPr>
    <w:rPr>
      <w:rFonts w:ascii="Sylfaen" w:eastAsia="Sylfaen" w:hAnsi="Sylfaen" w:cs="Sylfaen"/>
      <w:spacing w:val="1"/>
      <w:sz w:val="14"/>
      <w:szCs w:val="14"/>
    </w:rPr>
  </w:style>
  <w:style w:type="paragraph" w:customStyle="1" w:styleId="22">
    <w:name w:val="Колонтитул (2)"/>
    <w:basedOn w:val="a"/>
    <w:link w:val="21"/>
    <w:rsid w:val="00422E0F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</w:rPr>
  </w:style>
  <w:style w:type="paragraph" w:customStyle="1" w:styleId="32">
    <w:name w:val="Колонтитул (3)"/>
    <w:basedOn w:val="a"/>
    <w:link w:val="31"/>
    <w:rsid w:val="00422E0F"/>
    <w:pPr>
      <w:shd w:val="clear" w:color="auto" w:fill="FFFFFF"/>
      <w:spacing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a9">
    <w:name w:val="Підпис до зображення"/>
    <w:basedOn w:val="a"/>
    <w:link w:val="a8"/>
    <w:rsid w:val="00422E0F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"/>
      <w:sz w:val="19"/>
      <w:szCs w:val="19"/>
    </w:rPr>
  </w:style>
  <w:style w:type="paragraph" w:customStyle="1" w:styleId="ab">
    <w:name w:val="Підпис до таблиці"/>
    <w:basedOn w:val="a"/>
    <w:link w:val="aa"/>
    <w:rsid w:val="00422E0F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"/>
      <w:sz w:val="17"/>
      <w:szCs w:val="17"/>
    </w:rPr>
  </w:style>
  <w:style w:type="paragraph" w:customStyle="1" w:styleId="50">
    <w:name w:val="Основний текст (5)"/>
    <w:basedOn w:val="a"/>
    <w:link w:val="5"/>
    <w:rsid w:val="00422E0F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i/>
      <w:iCs/>
      <w:spacing w:val="-1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LIBRARY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21305</Words>
  <Characters>12145</Characters>
  <Application>Microsoft Office Word</Application>
  <DocSecurity>0</DocSecurity>
  <Lines>101</Lines>
  <Paragraphs>66</Paragraphs>
  <ScaleCrop>false</ScaleCrop>
  <Company>Microsoft</Company>
  <LinksUpToDate>false</LinksUpToDate>
  <CharactersWithSpaces>33384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2017-06-14T08:45:00Z</dcterms:created>
  <dcterms:modified xsi:type="dcterms:W3CDTF">2017-06-14T08:45:00Z</dcterms:modified>
</cp:coreProperties>
</file>