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8" w:rsidRDefault="002C6C84">
      <w:pPr>
        <w:pStyle w:val="20"/>
        <w:framePr w:wrap="around" w:vAnchor="page" w:hAnchor="page" w:x="975" w:y="1273"/>
        <w:shd w:val="clear" w:color="auto" w:fill="auto"/>
        <w:spacing w:after="0" w:line="210" w:lineRule="exact"/>
        <w:ind w:left="40"/>
      </w:pPr>
      <w:r>
        <w:rPr>
          <w:lang w:val="ru-RU" w:eastAsia="ru-RU" w:bidi="ru-RU"/>
        </w:rPr>
        <w:t>УДК 364.02</w:t>
      </w:r>
    </w:p>
    <w:p w:rsidR="00E271D8" w:rsidRDefault="002C6C84">
      <w:pPr>
        <w:pStyle w:val="20"/>
        <w:framePr w:w="9984" w:h="13570" w:hRule="exact" w:wrap="around" w:vAnchor="page" w:hAnchor="page" w:x="975" w:y="1495"/>
        <w:shd w:val="clear" w:color="auto" w:fill="auto"/>
        <w:spacing w:after="0" w:line="274" w:lineRule="exact"/>
        <w:jc w:val="center"/>
      </w:pPr>
      <w:r>
        <w:t xml:space="preserve">Андрій </w:t>
      </w:r>
      <w:r>
        <w:rPr>
          <w:lang w:val="ru-RU" w:eastAsia="ru-RU" w:bidi="ru-RU"/>
        </w:rPr>
        <w:t xml:space="preserve">Семенович </w:t>
      </w:r>
      <w:r>
        <w:t>КОЦУР</w:t>
      </w:r>
    </w:p>
    <w:p w:rsidR="00E271D8" w:rsidRDefault="002C6C84">
      <w:pPr>
        <w:pStyle w:val="a5"/>
        <w:framePr w:w="9984" w:h="13570" w:hRule="exact" w:wrap="around" w:vAnchor="page" w:hAnchor="page" w:x="975" w:y="1495"/>
        <w:shd w:val="clear" w:color="auto" w:fill="auto"/>
        <w:spacing w:after="291"/>
      </w:pPr>
      <w:r>
        <w:rPr>
          <w:lang w:val="ru-RU" w:eastAsia="ru-RU" w:bidi="ru-RU"/>
        </w:rPr>
        <w:t xml:space="preserve">к.е.н., доцент </w:t>
      </w:r>
      <w:r>
        <w:t xml:space="preserve">кафедри Управління </w:t>
      </w:r>
      <w:r>
        <w:rPr>
          <w:lang w:val="ru-RU" w:eastAsia="ru-RU" w:bidi="ru-RU"/>
        </w:rPr>
        <w:t xml:space="preserve">персоналом </w:t>
      </w:r>
      <w:r>
        <w:t>і регіональної економіки Тернопільського національного економічного університету м. Тернопіль, вул. Львівська 3, 46000</w:t>
      </w:r>
    </w:p>
    <w:p w:rsidR="00E271D8" w:rsidRDefault="002C6C84">
      <w:pPr>
        <w:pStyle w:val="20"/>
        <w:framePr w:w="9984" w:h="13570" w:hRule="exact" w:wrap="around" w:vAnchor="page" w:hAnchor="page" w:x="975" w:y="1495"/>
        <w:shd w:val="clear" w:color="auto" w:fill="auto"/>
        <w:spacing w:after="267" w:line="210" w:lineRule="exact"/>
        <w:jc w:val="center"/>
      </w:pPr>
      <w:r>
        <w:t>ОСНОВНІ ПРИЧИНИ ТА МАСШТАБИ БІДНОСТІ НАСЕЛЕННЯ УКР</w:t>
      </w:r>
      <w:r>
        <w:rPr>
          <w:rStyle w:val="21"/>
          <w:b/>
          <w:bCs/>
        </w:rPr>
        <w:t>АЇНИ</w:t>
      </w:r>
    </w:p>
    <w:p w:rsidR="00E271D8" w:rsidRDefault="002C6C84">
      <w:pPr>
        <w:pStyle w:val="30"/>
        <w:framePr w:w="9984" w:h="13570" w:hRule="exact" w:wrap="around" w:vAnchor="page" w:hAnchor="page" w:x="975" w:y="1495"/>
        <w:shd w:val="clear" w:color="auto" w:fill="auto"/>
        <w:spacing w:before="0"/>
      </w:pPr>
      <w:r>
        <w:t>Анотація</w:t>
      </w:r>
    </w:p>
    <w:p w:rsidR="00E271D8" w:rsidRDefault="002C6C84">
      <w:pPr>
        <w:pStyle w:val="40"/>
        <w:framePr w:w="9984" w:h="13570" w:hRule="exact" w:wrap="around" w:vAnchor="page" w:hAnchor="page" w:x="975" w:y="1495"/>
        <w:shd w:val="clear" w:color="auto" w:fill="auto"/>
        <w:ind w:left="40" w:right="20" w:firstLine="560"/>
      </w:pPr>
      <w:r>
        <w:t>У статті “Основні причини та масштаби бідності населення України ”робиться спроба окреслити основні причини та масштаби бідності населення України. При аналізі доходів та видатків населення України застосовувалися аналітичний і статистичний методи</w:t>
      </w:r>
      <w:r>
        <w:t>. Науково новизна дослідження полягає в окресленні основних причин незадовільного рівня доходів громадян та визначення сучасних масштабів бідності населення України. Зокрема визначено наступні причини збільшення масштабів бідності: 1) зменшення частки труд</w:t>
      </w:r>
      <w:r>
        <w:t>ових доходів та соціальних трансфертів у структурі доходів населення; 2) зменшення індексу реальної заробітної плати, що свідчить про зниження купівельної спроможності населення; 3) переважання, у зазначеному періоді, приросту індексу споживчих цін над при</w:t>
      </w:r>
      <w:r>
        <w:t>ростом розміру середньомісячної заробітної плати; 4) девальвація національної грошової одиниці при значній частці імпортних товарів у структурі внутрішнього ринку товарів та послуг; 5) зменшення обсягу випуску промислової, що призвело до значного вивільнен</w:t>
      </w:r>
      <w:r>
        <w:t>ня працівників. Результати дослідження можуть бути використанні при обґрунтування пріоритетних напрямів соціально-економічної політики держави з метою підвищення рівня доходів населення та відповідно рівня його життя.</w:t>
      </w:r>
    </w:p>
    <w:p w:rsidR="00E271D8" w:rsidRDefault="002C6C84">
      <w:pPr>
        <w:pStyle w:val="40"/>
        <w:framePr w:w="9984" w:h="13570" w:hRule="exact" w:wrap="around" w:vAnchor="page" w:hAnchor="page" w:x="975" w:y="1495"/>
        <w:shd w:val="clear" w:color="auto" w:fill="auto"/>
        <w:spacing w:after="17"/>
        <w:ind w:left="40" w:right="20" w:firstLine="560"/>
      </w:pPr>
      <w:r>
        <w:rPr>
          <w:rStyle w:val="40pt"/>
          <w:i/>
          <w:iCs/>
          <w:lang w:val="uk-UA" w:eastAsia="uk-UA" w:bidi="uk-UA"/>
        </w:rPr>
        <w:t>Ключові слова</w:t>
      </w:r>
      <w:r>
        <w:t xml:space="preserve">: прожитковий мінімум; </w:t>
      </w:r>
      <w:r>
        <w:t>мінімальна заробітна плата, девальвація; доходи населення; бідність; мінімальний споживчий бюджет.</w:t>
      </w:r>
    </w:p>
    <w:p w:rsidR="00E271D8" w:rsidRDefault="002C6C84">
      <w:pPr>
        <w:pStyle w:val="20"/>
        <w:framePr w:w="9984" w:h="13570" w:hRule="exact" w:wrap="around" w:vAnchor="page" w:hAnchor="page" w:x="975" w:y="1495"/>
        <w:shd w:val="clear" w:color="auto" w:fill="auto"/>
        <w:spacing w:after="0" w:line="552" w:lineRule="exact"/>
        <w:jc w:val="center"/>
      </w:pPr>
      <w:r>
        <w:t xml:space="preserve">Андрей Семенович КОЦУР </w:t>
      </w:r>
      <w:r>
        <w:rPr>
          <w:lang w:val="ru-RU" w:eastAsia="ru-RU" w:bidi="ru-RU"/>
        </w:rPr>
        <w:t>ОСНОВНЫЕ ПРИ</w:t>
      </w:r>
      <w:r>
        <w:rPr>
          <w:rStyle w:val="21"/>
          <w:b/>
          <w:bCs/>
          <w:lang w:val="ru-RU" w:eastAsia="ru-RU" w:bidi="ru-RU"/>
        </w:rPr>
        <w:t>ЧИНЫ</w:t>
      </w:r>
      <w:r>
        <w:rPr>
          <w:lang w:val="ru-RU" w:eastAsia="ru-RU" w:bidi="ru-RU"/>
        </w:rPr>
        <w:t xml:space="preserve"> И МАСШТАБЫ БЕДНОСТИ НАСЕЛЕНИЯ УКРАИНЫ</w:t>
      </w:r>
    </w:p>
    <w:p w:rsidR="00E271D8" w:rsidRDefault="002C6C84">
      <w:pPr>
        <w:pStyle w:val="30"/>
        <w:framePr w:w="9984" w:h="13570" w:hRule="exact" w:wrap="around" w:vAnchor="page" w:hAnchor="page" w:x="975" w:y="1495"/>
        <w:shd w:val="clear" w:color="auto" w:fill="auto"/>
        <w:spacing w:before="0"/>
      </w:pPr>
      <w:r>
        <w:rPr>
          <w:lang w:val="ru-RU" w:eastAsia="ru-RU" w:bidi="ru-RU"/>
        </w:rPr>
        <w:t>Аннотация</w:t>
      </w:r>
    </w:p>
    <w:p w:rsidR="00E271D8" w:rsidRDefault="002C6C84">
      <w:pPr>
        <w:pStyle w:val="40"/>
        <w:framePr w:w="9984" w:h="13570" w:hRule="exact" w:wrap="around" w:vAnchor="page" w:hAnchor="page" w:x="975" w:y="1495"/>
        <w:shd w:val="clear" w:color="auto" w:fill="auto"/>
        <w:ind w:left="40" w:right="20" w:firstLine="560"/>
      </w:pPr>
      <w:r>
        <w:rPr>
          <w:lang w:val="ru-RU" w:eastAsia="ru-RU" w:bidi="ru-RU"/>
        </w:rPr>
        <w:t>В статье “Основные причины и масштабы бедности населения Украины ” де</w:t>
      </w:r>
      <w:r>
        <w:rPr>
          <w:lang w:val="ru-RU" w:eastAsia="ru-RU" w:bidi="ru-RU"/>
        </w:rPr>
        <w:t>лается попытка очертить основные причины и масштабы бедности населения Украины. При анализе доходов и расходов населения Украины применялись аналитический и статистический методы. Научно новизна исследования заключается в очерчивании основных причин неудов</w:t>
      </w:r>
      <w:r>
        <w:rPr>
          <w:lang w:val="ru-RU" w:eastAsia="ru-RU" w:bidi="ru-RU"/>
        </w:rPr>
        <w:t>летворительного уровня доходов граждан и определения современных масштабов бедности населения Украины. В частности определены следующие причины увеличения масштабов бедности: 1) уменьшение части трудовых доходов и социальных трансфертов в структуре доходов</w:t>
      </w:r>
      <w:r>
        <w:rPr>
          <w:lang w:val="ru-RU" w:eastAsia="ru-RU" w:bidi="ru-RU"/>
        </w:rPr>
        <w:t xml:space="preserve"> населения; 2) уменьшение индекса реальной заработной платы, что свидетельствует о снижении покупательной способности населения; 3) преобладание, в отмеченном периоде, прироста индекса потребительских цен над приростом размера среднемесячной заработной пла</w:t>
      </w:r>
      <w:r>
        <w:rPr>
          <w:lang w:val="ru-RU" w:eastAsia="ru-RU" w:bidi="ru-RU"/>
        </w:rPr>
        <w:t>ты; 4) девальвация национальной денежной единицы при значительной части импортных товаров в структуре внутреннего рынка товаров и услуг; 5) уменьшение объема выпуска промышленной, что привело к значительного высвобождает работников. Результаты исследования</w:t>
      </w:r>
      <w:r>
        <w:rPr>
          <w:lang w:val="ru-RU" w:eastAsia="ru-RU" w:bidi="ru-RU"/>
        </w:rPr>
        <w:t xml:space="preserve"> могут быть использовании при об-рунтування приоритетных направлений социально-экономической политики государства с целью повышения уровня доходов населения и соответственно уровня его жизни.</w:t>
      </w:r>
    </w:p>
    <w:p w:rsidR="00E271D8" w:rsidRDefault="002C6C84">
      <w:pPr>
        <w:pStyle w:val="40"/>
        <w:framePr w:w="9984" w:h="13570" w:hRule="exact" w:wrap="around" w:vAnchor="page" w:hAnchor="page" w:x="975" w:y="1495"/>
        <w:shd w:val="clear" w:color="auto" w:fill="auto"/>
        <w:ind w:left="40" w:right="20" w:firstLine="560"/>
      </w:pPr>
      <w:r>
        <w:rPr>
          <w:rStyle w:val="40pt"/>
          <w:i/>
          <w:iCs/>
        </w:rPr>
        <w:t>Ключевые слова</w:t>
      </w:r>
      <w:r>
        <w:rPr>
          <w:lang w:val="ru-RU" w:eastAsia="ru-RU" w:bidi="ru-RU"/>
        </w:rPr>
        <w:t>: прожиточный минимум; минимальная заработная плат</w:t>
      </w:r>
      <w:r>
        <w:rPr>
          <w:lang w:val="ru-RU" w:eastAsia="ru-RU" w:bidi="ru-RU"/>
        </w:rPr>
        <w:t>а, девальвация; доходы населения; бедность; минимальный потребительский бюджет.</w:t>
      </w:r>
    </w:p>
    <w:p w:rsidR="00E271D8" w:rsidRDefault="002C6C84">
      <w:pPr>
        <w:pStyle w:val="a7"/>
        <w:framePr w:wrap="around" w:vAnchor="page" w:hAnchor="page" w:x="989" w:y="15666"/>
        <w:shd w:val="clear" w:color="auto" w:fill="auto"/>
        <w:spacing w:line="170" w:lineRule="exact"/>
        <w:ind w:left="20"/>
      </w:pPr>
      <w:r>
        <w:rPr>
          <w:lang w:val="ru-RU" w:eastAsia="ru-RU" w:bidi="ru-RU"/>
        </w:rPr>
        <w:t>36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20"/>
        <w:framePr w:w="9998" w:h="13840" w:hRule="exact" w:wrap="around" w:vAnchor="page" w:hAnchor="page" w:x="968" w:y="1140"/>
        <w:shd w:val="clear" w:color="auto" w:fill="auto"/>
        <w:spacing w:after="0" w:line="269" w:lineRule="exact"/>
        <w:ind w:left="40"/>
        <w:jc w:val="center"/>
      </w:pPr>
      <w:r>
        <w:rPr>
          <w:lang w:val="en-US" w:eastAsia="en-US" w:bidi="en-US"/>
        </w:rPr>
        <w:lastRenderedPageBreak/>
        <w:t>Andrey Semenovich KOTSUR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 w:line="269" w:lineRule="exact"/>
        <w:ind w:left="40"/>
      </w:pPr>
      <w:r>
        <w:rPr>
          <w:lang w:val="en-US" w:eastAsia="en-US" w:bidi="en-US"/>
        </w:rPr>
        <w:t>Ph.D., Associate professor of department of Management by a personnel and regional economy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287" w:line="269" w:lineRule="exact"/>
        <w:ind w:left="40"/>
      </w:pPr>
      <w:r>
        <w:rPr>
          <w:lang w:val="en-US" w:eastAsia="en-US" w:bidi="en-US"/>
        </w:rPr>
        <w:t xml:space="preserve">Ternopil National Economic </w:t>
      </w:r>
      <w:r>
        <w:rPr>
          <w:lang w:val="en-US" w:eastAsia="en-US" w:bidi="en-US"/>
        </w:rPr>
        <w:t>University 46000, Ternopil, st. Lviv 3, Ukraine</w:t>
      </w:r>
    </w:p>
    <w:p w:rsidR="00E271D8" w:rsidRDefault="002C6C84">
      <w:pPr>
        <w:pStyle w:val="20"/>
        <w:framePr w:w="9998" w:h="13840" w:hRule="exact" w:wrap="around" w:vAnchor="page" w:hAnchor="page" w:x="968" w:y="1140"/>
        <w:shd w:val="clear" w:color="auto" w:fill="auto"/>
        <w:spacing w:after="212" w:line="210" w:lineRule="exact"/>
        <w:ind w:left="40"/>
        <w:jc w:val="center"/>
      </w:pPr>
      <w:r>
        <w:rPr>
          <w:lang w:val="en-US" w:eastAsia="en-US" w:bidi="en-US"/>
        </w:rPr>
        <w:t>PRINCIPAL REASONS AND SCALES OF POVERTY OF POPULATION OF UKRAINE</w:t>
      </w:r>
    </w:p>
    <w:p w:rsidR="00E271D8" w:rsidRDefault="002C6C84">
      <w:pPr>
        <w:pStyle w:val="40"/>
        <w:framePr w:w="9998" w:h="13840" w:hRule="exact" w:wrap="around" w:vAnchor="page" w:hAnchor="page" w:x="968" w:y="1140"/>
        <w:shd w:val="clear" w:color="auto" w:fill="auto"/>
        <w:ind w:left="40"/>
        <w:jc w:val="center"/>
      </w:pPr>
      <w:r>
        <w:rPr>
          <w:lang w:val="en-US" w:eastAsia="en-US" w:bidi="en-US"/>
        </w:rPr>
        <w:t>Summary</w:t>
      </w:r>
    </w:p>
    <w:p w:rsidR="00E271D8" w:rsidRDefault="002C6C84">
      <w:pPr>
        <w:pStyle w:val="40"/>
        <w:framePr w:w="9998" w:h="13840" w:hRule="exact" w:wrap="around" w:vAnchor="page" w:hAnchor="page" w:x="968" w:y="1140"/>
        <w:shd w:val="clear" w:color="auto" w:fill="auto"/>
        <w:ind w:left="20" w:right="60" w:firstLine="560"/>
      </w:pPr>
      <w:r>
        <w:rPr>
          <w:lang w:val="en-US" w:eastAsia="en-US" w:bidi="en-US"/>
        </w:rPr>
        <w:t xml:space="preserve">In the article the “Principal reasons and scales of poverty of population of Ukraine " is given it a shot to outline principal reasons </w:t>
      </w:r>
      <w:r>
        <w:rPr>
          <w:lang w:val="en-US" w:eastAsia="en-US" w:bidi="en-US"/>
        </w:rPr>
        <w:t>and scales of poverty of population of Ukraine. At the analysis of profits and charges of population of Ukraine analytical and statistical methods were used. Scientifically a research novelty consists in outlining of principal reasons of unsatisfactory lev</w:t>
      </w:r>
      <w:r>
        <w:rPr>
          <w:lang w:val="en-US" w:eastAsia="en-US" w:bidi="en-US"/>
        </w:rPr>
        <w:t>el of profits of citizens and determination of modern scales of poverty of population of Ukraine. The following reasons of increase of scales of poverty are definite in particular: 1) reduction of part of the earned incomes and social transfertiv in the st</w:t>
      </w:r>
      <w:r>
        <w:rPr>
          <w:lang w:val="en-US" w:eastAsia="en-US" w:bidi="en-US"/>
        </w:rPr>
        <w:t>ructure of earnings of population; 2) reduction of index of the real wage, that testifies to the decline of purchasing power of population; 3) predominance, in the noted period, increase of consumer price index above the increase of size of average monthly</w:t>
      </w:r>
      <w:r>
        <w:rPr>
          <w:lang w:val="en-US" w:eastAsia="en-US" w:bidi="en-US"/>
        </w:rPr>
        <w:t xml:space="preserve"> wages; 4) devaluation of national monetary item at considerable part of the imported commodities in the structure of internal market of goods and services; 5) reduction of volume of output of industrial, that led workers to the considerable freeing. Resea</w:t>
      </w:r>
      <w:r>
        <w:rPr>
          <w:lang w:val="en-US" w:eastAsia="en-US" w:bidi="en-US"/>
        </w:rPr>
        <w:t>rch results can be the use at ob-rountouvannya priority directions of socio-economic policy of the state with the purpose of rise of level of profits of population and accordingly standard of his living.</w:t>
      </w:r>
    </w:p>
    <w:p w:rsidR="00E271D8" w:rsidRDefault="002C6C84">
      <w:pPr>
        <w:pStyle w:val="40"/>
        <w:framePr w:w="9998" w:h="13840" w:hRule="exact" w:wrap="around" w:vAnchor="page" w:hAnchor="page" w:x="968" w:y="1140"/>
        <w:shd w:val="clear" w:color="auto" w:fill="auto"/>
        <w:spacing w:after="240"/>
        <w:ind w:left="20" w:right="60" w:firstLine="560"/>
      </w:pPr>
      <w:r>
        <w:rPr>
          <w:lang w:val="en-US" w:eastAsia="en-US" w:bidi="en-US"/>
        </w:rPr>
        <w:t>Keywords: living wage; minimum wage, devaluation; pr</w:t>
      </w:r>
      <w:r>
        <w:rPr>
          <w:lang w:val="en-US" w:eastAsia="en-US" w:bidi="en-US"/>
        </w:rPr>
        <w:t>ofits of population; poverty; minimum consumer budget.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Постановка проблеми. </w:t>
      </w:r>
      <w:r>
        <w:t xml:space="preserve">Реформування економіки потребує докорінної зміни системи соціально-економічних відносин. Вдосконалення функціонування ринкової системи України передбачатиме зміну акцентів </w:t>
      </w:r>
      <w:r>
        <w:t>структурі національної економіки. Дотаційні галузі промисловості та ті, що розвивались за рахунок фіскальної підтримки, а також монополізовані ринки повинні перейти на загальні умови функціонування економічної системи. Негативними наслідками даних процесів</w:t>
      </w:r>
      <w:r>
        <w:t xml:space="preserve"> буде зниження темпів приросту заробітної плати працівників підприємств цих галузей та й звільнення значної їх частки.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/>
        <w:ind w:left="20" w:right="60" w:firstLine="560"/>
        <w:jc w:val="both"/>
      </w:pPr>
      <w:r>
        <w:t>У цих умовах гостро постає проблема соціальної захищеності громадян, що залишились без засобів для існування або доходи яких різко зменши</w:t>
      </w:r>
      <w:r>
        <w:t xml:space="preserve">лись. Актуальності даній проблематиці додають високі темпи девальвації національної грошової одиниці та висока частка імпортних товарів у структурі споживання населення. Значна частина таких товарів стає недоступною для громадян у зв’язку з низьким рівнем </w:t>
      </w:r>
      <w:r>
        <w:t>їх доходів.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>Активізація економічних реформ актуалізує проблематику причин та масштабів бідності в Україні та необхідності посилення соціального захисту соціально вразливих верств населення. У працях вітчизняних вчен</w:t>
      </w:r>
      <w:r>
        <w:t>их значну увагу приділено шляхам подолання бідності як явища, проте потребує подальшого дослідження удосконалення методики визначення масштабів бідності та обґрунтування основних причин виникнення бідності, як явища.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Постановка завдання. </w:t>
      </w:r>
      <w:r>
        <w:t xml:space="preserve">У статті робиться </w:t>
      </w:r>
      <w:r>
        <w:t>спроба окреслити основні причини та масштаби бідності населення України. Об’єктом дослідження соціально-економічні процеси, що впливають на рівень життя населення. Предметом дослідження рівень доходів та видатків населення України.</w:t>
      </w:r>
    </w:p>
    <w:p w:rsidR="00E271D8" w:rsidRDefault="002C6C84">
      <w:pPr>
        <w:pStyle w:val="a5"/>
        <w:framePr w:w="9998" w:h="13840" w:hRule="exact" w:wrap="around" w:vAnchor="page" w:hAnchor="page" w:x="968" w:y="1140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>Виклад основного матеріа</w:t>
      </w:r>
      <w:r>
        <w:rPr>
          <w:rStyle w:val="0pt"/>
        </w:rPr>
        <w:t>лу дослідження</w:t>
      </w:r>
      <w:r>
        <w:t>. Існуюча структура доходів населення, свідчить проте що частка заробітної плати в структурі доходів населення є досить низькою та має тенденцію до зменшення. Так у ІІ кварталі 2014 року вона становила 40,8 %, що у</w:t>
      </w:r>
    </w:p>
    <w:p w:rsidR="00E271D8" w:rsidRDefault="002C6C84">
      <w:pPr>
        <w:pStyle w:val="a7"/>
        <w:framePr w:wrap="around" w:vAnchor="page" w:hAnchor="page" w:x="958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 xml:space="preserve">1818-2682. Наука </w:t>
      </w:r>
      <w:r>
        <w:t>молода, 2014 рік. № 21</w:t>
      </w:r>
    </w:p>
    <w:p w:rsidR="00E271D8" w:rsidRDefault="002C6C84">
      <w:pPr>
        <w:pStyle w:val="a7"/>
        <w:framePr w:wrap="around" w:vAnchor="page" w:hAnchor="page" w:x="10683" w:y="15623"/>
        <w:shd w:val="clear" w:color="auto" w:fill="auto"/>
        <w:spacing w:line="170" w:lineRule="exact"/>
        <w:ind w:left="20"/>
      </w:pPr>
      <w:r>
        <w:t>37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a5"/>
        <w:framePr w:w="10162" w:h="5299" w:hRule="exact" w:wrap="around" w:vAnchor="page" w:hAnchor="page" w:x="886" w:y="1174"/>
        <w:shd w:val="clear" w:color="auto" w:fill="auto"/>
        <w:spacing w:after="0"/>
        <w:ind w:left="20" w:right="240"/>
        <w:jc w:val="both"/>
      </w:pPr>
      <w:r>
        <w:lastRenderedPageBreak/>
        <w:t xml:space="preserve">порівнянні з ІІ кварталом 2013 року є на 1,2 % меншим (42,0 %). При цьому,за відповідний період відбулось зменшення частки соціальних трансфертів структурі доходів населення з 40,1 % у ІІ кварталі 2013 р. до </w:t>
      </w:r>
      <w:r>
        <w:t>39,4 % у ІІ кварталі 2014 р..</w:t>
      </w:r>
    </w:p>
    <w:p w:rsidR="00E271D8" w:rsidRDefault="002C6C84">
      <w:pPr>
        <w:pStyle w:val="a5"/>
        <w:framePr w:w="10162" w:h="5299" w:hRule="exact" w:wrap="around" w:vAnchor="page" w:hAnchor="page" w:x="886" w:y="1174"/>
        <w:shd w:val="clear" w:color="auto" w:fill="auto"/>
        <w:spacing w:after="0"/>
        <w:ind w:left="20" w:right="240" w:firstLine="560"/>
        <w:jc w:val="both"/>
      </w:pPr>
      <w:r>
        <w:t>Зменшення частки заробітної плати в структурі доходів населення є безумовно негативним явище. Це свідчить про зменшення частки трудових доходів, які отримує людина за виконану працю. Також, це говорить про зміни на ринку праці</w:t>
      </w:r>
      <w:r>
        <w:t>. Що стосується зменшення частки соціальної допомоги та інших одержаних поточних трансфертів, то дане явище є позитивним для функціонування економіки в цілому, проте це також говорить про звуження соціального захисту населення. У сучасних економічних та по</w:t>
      </w:r>
      <w:r>
        <w:t>літичних умовах перегляд окремих елементів соціального захисту є необхідним та своєчасним, але обмеження соціального захисту не повинно стосуватись тих громадян, для яких це чи не єдине джерело фінансових ресурсів.</w:t>
      </w:r>
    </w:p>
    <w:p w:rsidR="00E271D8" w:rsidRDefault="002C6C84">
      <w:pPr>
        <w:pStyle w:val="a5"/>
        <w:framePr w:w="10162" w:h="5299" w:hRule="exact" w:wrap="around" w:vAnchor="page" w:hAnchor="page" w:x="886" w:y="1174"/>
        <w:shd w:val="clear" w:color="auto" w:fill="auto"/>
        <w:spacing w:after="0"/>
        <w:ind w:left="20" w:right="240" w:firstLine="560"/>
        <w:jc w:val="both"/>
      </w:pPr>
      <w:r>
        <w:t xml:space="preserve">Для детального аналізу доходів громадян </w:t>
      </w:r>
      <w:r>
        <w:t>звернемо увагу на індекс реальної заробітної плати громадян. Так, за підсумками першого півріччя 2013 року він становив 109,6 %. Тобто реальна заробітна плата зросла на 9,6 %. За підсумками першого півріччя 2014 року цей показник склав 99,6 %. Тобто, реаль</w:t>
      </w:r>
      <w:r>
        <w:t>на заробітна плата знизилась на 0,4 %. При цьому номінальна заробітна плата у зазначеному періоді 2013 року зросла на 9,1 %, а у 2014 році на 5,3 %. Також слід зазначити, що середня заробітна плата у першому півріччі 2014 року зросла 434 грн. або на 12,1 %</w:t>
      </w:r>
      <w:r>
        <w:t>, у першому півріччі 2013 року - 380 грн. (11,2 %) [1].</w:t>
      </w:r>
    </w:p>
    <w:p w:rsidR="00E271D8" w:rsidRDefault="002C6C84">
      <w:pPr>
        <w:pStyle w:val="a9"/>
        <w:framePr w:w="8376" w:h="891" w:hRule="exact" w:wrap="around" w:vAnchor="page" w:hAnchor="page" w:x="2451" w:y="6699"/>
        <w:shd w:val="clear" w:color="auto" w:fill="auto"/>
        <w:ind w:right="20"/>
      </w:pPr>
      <w:r>
        <w:t>Таблиця 1</w:t>
      </w:r>
    </w:p>
    <w:p w:rsidR="00E271D8" w:rsidRDefault="002C6C84">
      <w:pPr>
        <w:pStyle w:val="a9"/>
        <w:framePr w:w="8376" w:h="891" w:hRule="exact" w:wrap="around" w:vAnchor="page" w:hAnchor="page" w:x="2451" w:y="6699"/>
        <w:shd w:val="clear" w:color="auto" w:fill="auto"/>
        <w:tabs>
          <w:tab w:val="left" w:leader="underscore" w:pos="1191"/>
          <w:tab w:val="left" w:pos="6063"/>
          <w:tab w:val="left" w:leader="underscore" w:pos="8396"/>
        </w:tabs>
        <w:ind w:left="20" w:right="20"/>
        <w:jc w:val="left"/>
      </w:pPr>
      <w:r>
        <w:t xml:space="preserve">Доходи та витрати населення України у II кварталі 2014 року </w:t>
      </w:r>
      <w:r>
        <w:tab/>
      </w:r>
      <w:r>
        <w:rPr>
          <w:rStyle w:val="aa"/>
          <w:b/>
          <w:bCs/>
        </w:rPr>
        <w:t>у порівнянні з ІІ кварталом 2013 року [1]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  <w:gridCol w:w="1522"/>
        <w:gridCol w:w="1517"/>
        <w:gridCol w:w="2554"/>
      </w:tblGrid>
      <w:tr w:rsidR="00E271D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1D8" w:rsidRDefault="00E271D8">
            <w:pPr>
              <w:framePr w:w="10152" w:h="4848" w:wrap="around" w:vAnchor="page" w:hAnchor="page" w:x="891" w:y="7542"/>
              <w:rPr>
                <w:sz w:val="10"/>
                <w:szCs w:val="10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У % до підсумку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/>
            </w:pPr>
            <w:r>
              <w:rPr>
                <w:rStyle w:val="0pt0"/>
              </w:rPr>
              <w:t>Зміна значення у ІІ кварталі 2014 у порівнянні з ІІ кварталом 2013 р</w:t>
            </w:r>
            <w:r>
              <w:rPr>
                <w:rStyle w:val="0pt0"/>
              </w:rPr>
              <w:t>.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71D8" w:rsidRDefault="00E271D8">
            <w:pPr>
              <w:framePr w:w="10152" w:h="4848" w:wrap="around" w:vAnchor="page" w:hAnchor="page" w:x="891" w:y="7542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78" w:lineRule="exact"/>
            </w:pPr>
            <w:r>
              <w:rPr>
                <w:rStyle w:val="0pt0"/>
              </w:rPr>
              <w:t>ІІ квартал 2013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78" w:lineRule="exact"/>
            </w:pPr>
            <w:r>
              <w:rPr>
                <w:rStyle w:val="0pt0"/>
              </w:rPr>
              <w:t>ІІ квартал 2014 р.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E271D8">
            <w:pPr>
              <w:framePr w:w="10152" w:h="4848" w:wrap="around" w:vAnchor="page" w:hAnchor="page" w:x="891" w:y="7542"/>
            </w:pP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0pt0"/>
              </w:rPr>
              <w:t>Доходи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100,0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заробітна плата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40,8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-1,2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прибуток та змішаний доход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13,1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14,1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доходи від власності (одержані)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5,7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0,9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/>
              <w:ind w:left="120"/>
              <w:jc w:val="left"/>
            </w:pPr>
            <w:r>
              <w:rPr>
                <w:rStyle w:val="ab"/>
              </w:rPr>
              <w:t>соціальні допомоги та інші одержані поточні трансферти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40,1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39,4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-0,7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0pt0"/>
              </w:rPr>
              <w:t>Витрати та заощадження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100,0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придбання товарів та послуг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87,3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85,8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-1,5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доходи від власності (сплачені)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1,8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-0,3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/>
              <w:jc w:val="both"/>
            </w:pPr>
            <w:r>
              <w:rPr>
                <w:rStyle w:val="ab"/>
              </w:rPr>
              <w:t>поточні податки на доходи, майно та інші сплачені поточні трансферти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7,2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7,0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-0,2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нагромадження нефінансових активів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-0,4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-0,9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  <w:jc w:val="both"/>
            </w:pPr>
            <w:r>
              <w:rPr>
                <w:rStyle w:val="ab"/>
              </w:rPr>
              <w:t>приріст фінансових активів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5,8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10152" w:h="4848" w:wrap="around" w:vAnchor="page" w:hAnchor="page" w:x="891" w:y="7542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2,9</w:t>
            </w:r>
          </w:p>
        </w:tc>
      </w:tr>
    </w:tbl>
    <w:p w:rsidR="00E271D8" w:rsidRDefault="002C6C84">
      <w:pPr>
        <w:pStyle w:val="a5"/>
        <w:framePr w:w="10162" w:h="2544" w:hRule="exact" w:wrap="around" w:vAnchor="page" w:hAnchor="page" w:x="886" w:y="12632"/>
        <w:shd w:val="clear" w:color="auto" w:fill="auto"/>
        <w:spacing w:after="0"/>
        <w:ind w:left="20" w:right="240" w:firstLine="560"/>
        <w:jc w:val="both"/>
      </w:pPr>
      <w:r>
        <w:t xml:space="preserve">Основним чинником зменшення реальної заробітної плати у першому півріччі 2014 року є приріст індексу споживчих цін, який з початку 2014 року становив 11,5 % (8,3 % у ІІ кварталі 2014 року). У відповідних </w:t>
      </w:r>
      <w:r>
        <w:t>періодах 2013 року цей показник становив: 0,2 - за перше півріччя 2013 року; 0,1 - у ІІ кварталі 2013 року. У цілому у 2013 році індекс споживчих цін склав 99,7 % [1].</w:t>
      </w:r>
    </w:p>
    <w:p w:rsidR="00E271D8" w:rsidRDefault="002C6C84">
      <w:pPr>
        <w:pStyle w:val="a5"/>
        <w:framePr w:w="10162" w:h="2544" w:hRule="exact" w:wrap="around" w:vAnchor="page" w:hAnchor="page" w:x="886" w:y="12632"/>
        <w:shd w:val="clear" w:color="auto" w:fill="auto"/>
        <w:spacing w:after="0"/>
        <w:ind w:left="20" w:right="240" w:firstLine="560"/>
        <w:jc w:val="both"/>
      </w:pPr>
      <w:r>
        <w:t>Інфляційні процеси свідчать про те, що відбуваються певні зміни в економічному житті, пр</w:t>
      </w:r>
      <w:r>
        <w:t>о те уданому випадку важко встановити який характер мають ці процеси позитивний чи негативний. Адже однією з основних причин прискорення темпів інфляції є девальвація національної грошової одиниці. За перше півріччя 2014 року обмінний курс гривні до долара</w:t>
      </w:r>
    </w:p>
    <w:p w:rsidR="00E271D8" w:rsidRDefault="002C6C84">
      <w:pPr>
        <w:pStyle w:val="a7"/>
        <w:framePr w:wrap="around" w:vAnchor="page" w:hAnchor="page" w:x="876" w:y="15623"/>
        <w:shd w:val="clear" w:color="auto" w:fill="auto"/>
        <w:spacing w:line="170" w:lineRule="exact"/>
        <w:ind w:left="20"/>
      </w:pPr>
      <w:r>
        <w:t>38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/>
        <w:jc w:val="both"/>
      </w:pPr>
      <w:r>
        <w:rPr>
          <w:lang w:val="ru-RU" w:eastAsia="ru-RU" w:bidi="ru-RU"/>
        </w:rPr>
        <w:lastRenderedPageBreak/>
        <w:t xml:space="preserve">США на </w:t>
      </w:r>
      <w:r>
        <w:t xml:space="preserve">міжбанківському </w:t>
      </w:r>
      <w:r>
        <w:rPr>
          <w:lang w:val="ru-RU" w:eastAsia="ru-RU" w:bidi="ru-RU"/>
        </w:rPr>
        <w:t xml:space="preserve">ринку </w:t>
      </w:r>
      <w:r>
        <w:t xml:space="preserve">знизився </w:t>
      </w:r>
      <w:r>
        <w:rPr>
          <w:lang w:val="ru-RU" w:eastAsia="ru-RU" w:bidi="ru-RU"/>
        </w:rPr>
        <w:t xml:space="preserve">на 45,1 % - до 11,82 грн./дол. США, на </w:t>
      </w:r>
      <w:r>
        <w:t xml:space="preserve">готівковому </w:t>
      </w:r>
      <w:r>
        <w:rPr>
          <w:lang w:val="ru-RU" w:eastAsia="ru-RU" w:bidi="ru-RU"/>
        </w:rPr>
        <w:t>ринку - на 44,8 % - до 11,99 грн./дол. США. [6].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 xml:space="preserve">Основними чинниками даного </w:t>
      </w:r>
      <w:r>
        <w:rPr>
          <w:lang w:val="ru-RU" w:eastAsia="ru-RU" w:bidi="ru-RU"/>
        </w:rPr>
        <w:t xml:space="preserve">стану справ </w:t>
      </w:r>
      <w:r>
        <w:t xml:space="preserve">є окупація значної території України іншої державою </w:t>
      </w:r>
      <w:r>
        <w:t>та веденням бойових дій у східних областях, що позначилось на результатах економічної діяльності у цих регіонах і країни в цілому. Так, індекс промислової продукції у січні-червні 2014 р до січня-червня 2013 року становив 95,3 % [7].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>Отже, як бачимо знижен</w:t>
      </w:r>
      <w:r>
        <w:t>ня реальної заробітної плати зумовлено економічними та соціально-політичними чинниками. Анонсовані урядом економічні реформи не забезпечать в короткотермінові перспективі зростання доходів громадян, але можуть ще більше вплинути та їх зниження.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>Єдиним ваго</w:t>
      </w:r>
      <w:r>
        <w:t>мим механізмом регулювання доходів населення є встановлення мінімальної заробітної плати. Згідно ст. 3 Закону України «Про оплату праці»: «мінімальна заробітна плата - це законодавчо встановлений розмір заробітної плати за просту, некваліфіковану працю, ни</w:t>
      </w:r>
      <w:r>
        <w:t xml:space="preserve">жче якого не може здійснюватися оплата за виконану працівником місячну, а також погодинну норму праці (обсяг робіт) [3]. У 2014 році розмір мінімальної заробітної плати встановлено на рівні 1218 </w:t>
      </w:r>
      <w:r>
        <w:rPr>
          <w:lang w:val="ru-RU" w:eastAsia="ru-RU" w:bidi="ru-RU"/>
        </w:rPr>
        <w:t>грн.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>За сьогоднішнього рівня цін у державі величина мінімальн</w:t>
      </w:r>
      <w:r>
        <w:t>ої заробітної плати є вкрай низькою. Відповідно до ст. 2 Закону України «Про прожитковий мінімум» розмір мінімальної заробітної плати встановлюються у відповідності до прожиткового мінімуму. Прожитковий мінімум також впливає на визначення розмірів «мінімал</w:t>
      </w:r>
      <w:r>
        <w:t>ьної пенсії за віком, визначення розмірів соціальної допомоги, допомоги сім’ям з дітьми, допомоги по безробіттю, а також стипендій та інших соціальних виплат виходячи з вимог Конституції України та законів України [4]. У свою чергу «прожитковий мінімум - в</w:t>
      </w:r>
      <w:r>
        <w:t>артісна величина достатнього для забезпечення нормального функціонування організму людини, збереження його здоров’я набору продуктів харчування, а також мінімального набору непродовольчих товарів та мінімального набору послуг, необхідних для задоволення ос</w:t>
      </w:r>
      <w:r>
        <w:t xml:space="preserve">новних соціальних і культурних потреб особистості. Постановою КМУ № 656 від 14.04.2000 р. «Про затвердження наборів продуктів харчування, наборів непродовольчих товарів та наборів послуг </w:t>
      </w:r>
      <w:r>
        <w:rPr>
          <w:lang w:val="ru-RU" w:eastAsia="ru-RU" w:bidi="ru-RU"/>
        </w:rPr>
        <w:t xml:space="preserve">для </w:t>
      </w:r>
      <w:r>
        <w:t>основних соціальних і демографічних груп населення» був затвердже</w:t>
      </w:r>
      <w:r>
        <w:t>ний відповідний перелік [8]. Впродовж 14 років незважаючи на розвиток суспільства, зміну потреб населення дані набори не переглядались. У їхньому переліку не міститься ряд товарів і послуг без отримання яких не можливо прожити в сучасному світі. А вартість</w:t>
      </w:r>
      <w:r>
        <w:t xml:space="preserve"> зазначених у постанові наборів товарів і послуг, що входять до мінімального споживчого бюджету, вартісною величиною якого є прожитковий мінімум, розраховані на цінах, що не відповідають ринковим.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>Прожитковий мінімум встановлюється законодавчо при прийнятт</w:t>
      </w:r>
      <w:r>
        <w:t xml:space="preserve">і Закону України «Про державний бюджет </w:t>
      </w:r>
      <w:r>
        <w:rPr>
          <w:rStyle w:val="1pt"/>
        </w:rPr>
        <w:t>...»</w:t>
      </w:r>
      <w:r>
        <w:t xml:space="preserve"> на відповідний рік для наступних категорій населення: дітей віком до 6 років - 1032 грн. у 2014 році; дітей віком від 6 до 18 років - 1286 грн. (2014 </w:t>
      </w:r>
      <w:r>
        <w:rPr>
          <w:lang w:val="ru-RU" w:eastAsia="ru-RU" w:bidi="ru-RU"/>
        </w:rPr>
        <w:t xml:space="preserve">р.); </w:t>
      </w:r>
      <w:r>
        <w:t xml:space="preserve">працездатних осіб - 1218 грн. (2014 </w:t>
      </w:r>
      <w:r>
        <w:rPr>
          <w:lang w:val="ru-RU" w:eastAsia="ru-RU" w:bidi="ru-RU"/>
        </w:rPr>
        <w:t xml:space="preserve">р.); </w:t>
      </w:r>
      <w:r>
        <w:t>осіб, які втрати</w:t>
      </w:r>
      <w:r>
        <w:t>ли працездатність - 1176 грн. [2].</w:t>
      </w:r>
    </w:p>
    <w:p w:rsidR="00E271D8" w:rsidRDefault="002C6C84">
      <w:pPr>
        <w:pStyle w:val="a5"/>
        <w:framePr w:w="9936" w:h="13848" w:hRule="exact" w:wrap="around" w:vAnchor="page" w:hAnchor="page" w:x="999" w:y="1126"/>
        <w:shd w:val="clear" w:color="auto" w:fill="auto"/>
        <w:spacing w:after="0"/>
        <w:ind w:left="20" w:right="20" w:firstLine="560"/>
        <w:jc w:val="both"/>
      </w:pPr>
      <w:r>
        <w:t>Безперечно, зазначені суми не в змозі забезпечити оплату необхідних для представників цих категорій населення мінімального набору товарів та послуг. Тому одним із завдань держави є перегляд складу наборів продуктів харчув</w:t>
      </w:r>
      <w:r>
        <w:t>ання, наборів непродовольчих товарів та наборів послуг для основних соціальних і демографічних груп населення та розрахунок їх вартісної величини за ринковими цінами. Проте навіть при такому, вкрай низькому розмірі прожиткового мінімуму, держава не спромож</w:t>
      </w:r>
      <w:r>
        <w:t>на забезпечити усіх громадян мінімальним рівнем доходів. Так, у 2013 році 3,7 млн. осіб (8,4 % від загальної чисельності населення) отримали доходи у розрахунку на одну особу в місяць нижче рівня прожиткового мінімуму. Відповідно до нормативного методу виз</w:t>
      </w:r>
      <w:r>
        <w:t xml:space="preserve">начення межі бідності, який передбачає, що частка людей з доходами меншими прожиткового мінімуму й складає чисельність бідного населення, то згідно нього в Україні у 2013 році за межею бідності перебуває 3,7 млн. осіб або 8,4 % населення України. Основним </w:t>
      </w:r>
      <w:r>
        <w:t>недоліком визначення чисельності бідного населення за нормативним методом є те,</w:t>
      </w:r>
    </w:p>
    <w:p w:rsidR="00E271D8" w:rsidRDefault="002C6C84">
      <w:pPr>
        <w:pStyle w:val="a7"/>
        <w:framePr w:wrap="around" w:vAnchor="page" w:hAnchor="page" w:x="980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E271D8" w:rsidRDefault="002C6C84">
      <w:pPr>
        <w:pStyle w:val="a7"/>
        <w:framePr w:wrap="around" w:vAnchor="page" w:hAnchor="page" w:x="10704" w:y="15623"/>
        <w:shd w:val="clear" w:color="auto" w:fill="auto"/>
        <w:spacing w:line="170" w:lineRule="exact"/>
        <w:ind w:left="20"/>
      </w:pPr>
      <w:r>
        <w:t>39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a5"/>
        <w:framePr w:w="9936" w:h="7234" w:hRule="exact" w:wrap="around" w:vAnchor="page" w:hAnchor="page" w:x="999" w:y="1145"/>
        <w:shd w:val="clear" w:color="auto" w:fill="auto"/>
        <w:spacing w:after="0"/>
        <w:ind w:left="20" w:right="20"/>
        <w:jc w:val="both"/>
      </w:pPr>
      <w:r>
        <w:lastRenderedPageBreak/>
        <w:t xml:space="preserve">що за основу береться прожитковий мінімум, що встановлюється у відповідності до мінімального споживчого </w:t>
      </w:r>
      <w:r>
        <w:t>бюджету, який, як уже неодноразово зазначалось, розраховується на не реальних цінах на товари і послуги, що до нього входять, при цьому перелік цих товарів і послуг й норми їх споживання є морально застарілими і далекими від реальних потреб людини сьогодні</w:t>
      </w:r>
      <w:r>
        <w:t>.</w:t>
      </w:r>
    </w:p>
    <w:p w:rsidR="00E271D8" w:rsidRDefault="002C6C84">
      <w:pPr>
        <w:pStyle w:val="a5"/>
        <w:framePr w:w="9936" w:h="7234" w:hRule="exact" w:wrap="around" w:vAnchor="page" w:hAnchor="page" w:x="999" w:y="1145"/>
        <w:shd w:val="clear" w:color="auto" w:fill="auto"/>
        <w:spacing w:after="0"/>
        <w:ind w:left="20" w:right="20" w:firstLine="540"/>
        <w:jc w:val="both"/>
      </w:pPr>
      <w:r>
        <w:t>Для аналізу матеріального становища населення важливим є не лише аналіз доходів населення але аналіз видатків. У структурі витрат населення у 2013 році найбільшу частку займали витрати пов’язанні з придбанням товарів та послуг - 82,2 %, у 2012 році цей п</w:t>
      </w:r>
      <w:r>
        <w:t>оказник становив 80,7 %. Висока частка витрат на придбання товарів та послуг свідчить, що низький рівень доходів населення та неможливість заощаджувати кошти.</w:t>
      </w:r>
    </w:p>
    <w:p w:rsidR="00E271D8" w:rsidRDefault="002C6C84">
      <w:pPr>
        <w:pStyle w:val="a5"/>
        <w:framePr w:w="9936" w:h="7234" w:hRule="exact" w:wrap="around" w:vAnchor="page" w:hAnchor="page" w:x="999" w:y="1145"/>
        <w:shd w:val="clear" w:color="auto" w:fill="auto"/>
        <w:spacing w:after="0"/>
        <w:ind w:left="20" w:right="20" w:firstLine="540"/>
        <w:jc w:val="both"/>
      </w:pPr>
      <w:r>
        <w:t>Для визначення кількісної характеристики бідного населення звернемося до розподілу населення за р</w:t>
      </w:r>
      <w:r>
        <w:t xml:space="preserve">івнем доходів. Як видно з таблиці 2 частка осіб, що отримали доходи у 2013 році нижче прожиткового мінімуму (1113,67 грн. - середньорічний розмір прожиткового мінімуму в розрахунку на одну особу в місяць) становить близько 11,5 % громадян, що є безперечно </w:t>
      </w:r>
      <w:r>
        <w:t>негативним явищем. Потрібно зазначити, що частка осіб котрі отримали доходи нижчі від рівня середньомісячної заробітної плати в Україні, що у 2013 році становила 3265 грн. складає понад 90 %.</w:t>
      </w:r>
    </w:p>
    <w:p w:rsidR="00E271D8" w:rsidRDefault="002C6C84">
      <w:pPr>
        <w:pStyle w:val="a5"/>
        <w:framePr w:w="9936" w:h="7234" w:hRule="exact" w:wrap="around" w:vAnchor="page" w:hAnchor="page" w:x="999" w:y="1145"/>
        <w:shd w:val="clear" w:color="auto" w:fill="auto"/>
        <w:spacing w:after="0"/>
        <w:ind w:left="20" w:right="20" w:firstLine="540"/>
        <w:jc w:val="both"/>
      </w:pPr>
      <w:r>
        <w:t>За статистичним методом бідним вважається те населення, яке отри</w:t>
      </w:r>
      <w:r>
        <w:t>мує середньомісячний наявний дохід у розрахунку на одну особу менший ніж 75 % середнього значення в державі. Згідно даних Державної служби статистики середньомісячний наявний дохід у розрахунку на одну особу у 2013 році становив 2180,6 грн. Якщо особа отри</w:t>
      </w:r>
      <w:r>
        <w:t>мували доходи в місяць менше 1635,5 грн. (75 %), то вона відноситься до бідного населення. Такого населення у 2013 у відповідності до даних таблиці 2 було щонайменше 32,8 % від населення держави або 14,9 млн. осіб.</w:t>
      </w:r>
    </w:p>
    <w:p w:rsidR="00E271D8" w:rsidRDefault="002C6C84">
      <w:pPr>
        <w:pStyle w:val="20"/>
        <w:framePr w:w="9936" w:h="7234" w:hRule="exact" w:wrap="around" w:vAnchor="page" w:hAnchor="page" w:x="999" w:y="1145"/>
        <w:shd w:val="clear" w:color="auto" w:fill="auto"/>
        <w:spacing w:after="0" w:line="274" w:lineRule="exact"/>
        <w:ind w:right="20"/>
        <w:jc w:val="right"/>
      </w:pPr>
      <w:r>
        <w:t>Таблиця 2</w:t>
      </w:r>
    </w:p>
    <w:p w:rsidR="00E271D8" w:rsidRDefault="002C6C84">
      <w:pPr>
        <w:pStyle w:val="20"/>
        <w:framePr w:w="9936" w:h="7234" w:hRule="exact" w:wrap="around" w:vAnchor="page" w:hAnchor="page" w:x="999" w:y="1145"/>
        <w:shd w:val="clear" w:color="auto" w:fill="auto"/>
        <w:spacing w:after="0" w:line="274" w:lineRule="exact"/>
        <w:ind w:right="140"/>
        <w:jc w:val="right"/>
      </w:pPr>
      <w:r>
        <w:t>Розподіл населення за рівнем до</w:t>
      </w:r>
      <w:r>
        <w:t>ходів у розрахунку на одну особу в місяць в Україні</w:t>
      </w:r>
    </w:p>
    <w:p w:rsidR="00E271D8" w:rsidRDefault="002C6C84">
      <w:pPr>
        <w:pStyle w:val="a9"/>
        <w:framePr w:wrap="around" w:vAnchor="page" w:hAnchor="page" w:x="4325" w:y="8377"/>
        <w:shd w:val="clear" w:color="auto" w:fill="auto"/>
        <w:spacing w:line="210" w:lineRule="exact"/>
        <w:jc w:val="left"/>
      </w:pPr>
      <w:r>
        <w:rPr>
          <w:rStyle w:val="aa"/>
          <w:b/>
          <w:bCs/>
        </w:rPr>
        <w:t>впродовж 2012-2013 рр., % [1]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71"/>
        <w:gridCol w:w="1272"/>
        <w:gridCol w:w="1104"/>
      </w:tblGrid>
      <w:tr w:rsidR="00E271D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Дохід у розрахунку на одну особу,грн.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2012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2013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до 480,0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0,1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480,1-840,0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2,3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840,1-1200,0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9,1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1200,1-1560,0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21,3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1560,1-1920,0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22,1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1920,1-2280,0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16,6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2280,1-2640,0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10,4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2640,1-3000,0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6,7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3000,1-3360,0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4,3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3360,1-3720,0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2,0</w:t>
            </w:r>
          </w:p>
        </w:tc>
      </w:tr>
      <w:tr w:rsidR="00E271D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понад 3720,0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1D8" w:rsidRDefault="002C6C84">
            <w:pPr>
              <w:pStyle w:val="a5"/>
              <w:framePr w:w="8947" w:h="3451" w:wrap="around" w:vAnchor="page" w:hAnchor="page" w:x="1493" w:y="8617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5,1</w:t>
            </w:r>
          </w:p>
        </w:tc>
      </w:tr>
    </w:tbl>
    <w:p w:rsidR="00E271D8" w:rsidRDefault="002C6C84">
      <w:pPr>
        <w:pStyle w:val="a5"/>
        <w:framePr w:w="9936" w:h="2808" w:hRule="exact" w:wrap="around" w:vAnchor="page" w:hAnchor="page" w:x="999" w:y="12363"/>
        <w:shd w:val="clear" w:color="auto" w:fill="auto"/>
        <w:spacing w:after="0"/>
        <w:ind w:left="20" w:right="20" w:firstLine="540"/>
        <w:jc w:val="both"/>
      </w:pPr>
      <w:r>
        <w:t xml:space="preserve">Ще однією методикою визначення межі бідності населення є методика запропонована </w:t>
      </w:r>
      <w:r>
        <w:rPr>
          <w:lang w:val="ru-RU" w:eastAsia="ru-RU" w:bidi="ru-RU"/>
        </w:rPr>
        <w:t xml:space="preserve">ООН. </w:t>
      </w:r>
      <w:r>
        <w:t xml:space="preserve">Згідно неї, межа бідності визначається за допомогою величини витрат населення із розрахунку на одну особу на день. Для європейських країн вона встановлена на рівні 14 дол. </w:t>
      </w:r>
      <w:r>
        <w:rPr>
          <w:lang w:val="ru-RU" w:eastAsia="ru-RU" w:bidi="ru-RU"/>
        </w:rPr>
        <w:t xml:space="preserve">США. </w:t>
      </w:r>
      <w:r>
        <w:t xml:space="preserve">Для населення Східної Європи та Азії - 5 </w:t>
      </w:r>
      <w:r>
        <w:rPr>
          <w:lang w:val="ru-RU" w:eastAsia="ru-RU" w:bidi="ru-RU"/>
        </w:rPr>
        <w:t xml:space="preserve">дол. США. </w:t>
      </w:r>
      <w:r>
        <w:t>У 2013 році курс національно</w:t>
      </w:r>
      <w:r>
        <w:t xml:space="preserve">ї валюти по відношенню до долара США становив в середньому 8 </w:t>
      </w:r>
      <w:r>
        <w:rPr>
          <w:lang w:val="ru-RU" w:eastAsia="ru-RU" w:bidi="ru-RU"/>
        </w:rPr>
        <w:t xml:space="preserve">грн. </w:t>
      </w:r>
      <w:r>
        <w:t>за 1 дол. США. Отже, витрати населення на день повинні були становити 112 грн. та 40 грн. відповідно до методики. У 2013 році бідні особи повинні були отримати, щоб вважатись такими, дохід м</w:t>
      </w:r>
      <w:r>
        <w:t xml:space="preserve">енший ніж: для населення Європейських країн - 40880 </w:t>
      </w:r>
      <w:r>
        <w:rPr>
          <w:lang w:val="ru-RU" w:eastAsia="ru-RU" w:bidi="ru-RU"/>
        </w:rPr>
        <w:t xml:space="preserve">грн. </w:t>
      </w:r>
      <w:r>
        <w:t xml:space="preserve">або 3406 </w:t>
      </w:r>
      <w:r>
        <w:rPr>
          <w:lang w:val="ru-RU" w:eastAsia="ru-RU" w:bidi="ru-RU"/>
        </w:rPr>
        <w:t xml:space="preserve">грн. </w:t>
      </w:r>
      <w:r>
        <w:t>доходу у місяць; для країн Східної Європи та Азії - 14600 грн. та 1216 грн. відповідно, що є практично зіставною з величиною прожиткового мінімуму, яка на кінець 2013 року становила 121</w:t>
      </w:r>
      <w:r>
        <w:t xml:space="preserve">8 </w:t>
      </w:r>
      <w:r>
        <w:rPr>
          <w:lang w:val="ru-RU" w:eastAsia="ru-RU" w:bidi="ru-RU"/>
        </w:rPr>
        <w:t xml:space="preserve">грн.. </w:t>
      </w:r>
      <w:r>
        <w:t>При першій методиці</w:t>
      </w:r>
    </w:p>
    <w:p w:rsidR="00E271D8" w:rsidRDefault="002C6C84">
      <w:pPr>
        <w:pStyle w:val="a7"/>
        <w:framePr w:wrap="around" w:vAnchor="page" w:hAnchor="page" w:x="980" w:y="15594"/>
        <w:shd w:val="clear" w:color="auto" w:fill="auto"/>
        <w:spacing w:line="170" w:lineRule="exact"/>
        <w:ind w:left="20"/>
      </w:pPr>
      <w:r>
        <w:t>40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a5"/>
        <w:framePr w:w="9950" w:h="14007" w:hRule="exact" w:wrap="around" w:vAnchor="page" w:hAnchor="page" w:x="992" w:y="1126"/>
        <w:shd w:val="clear" w:color="auto" w:fill="auto"/>
        <w:spacing w:after="0"/>
        <w:ind w:left="20" w:right="20"/>
        <w:jc w:val="both"/>
      </w:pPr>
      <w:r>
        <w:rPr>
          <w:lang w:val="ru-RU" w:eastAsia="ru-RU" w:bidi="ru-RU"/>
        </w:rPr>
        <w:lastRenderedPageBreak/>
        <w:t xml:space="preserve">ООН </w:t>
      </w:r>
      <w:r>
        <w:t xml:space="preserve">чисельність бідного </w:t>
      </w:r>
      <w:r>
        <w:rPr>
          <w:lang w:val="ru-RU" w:eastAsia="ru-RU" w:bidi="ru-RU"/>
        </w:rPr>
        <w:t xml:space="preserve">населення, </w:t>
      </w:r>
      <w:r>
        <w:t xml:space="preserve">згідно </w:t>
      </w:r>
      <w:r>
        <w:rPr>
          <w:lang w:val="ru-RU" w:eastAsia="ru-RU" w:bidi="ru-RU"/>
        </w:rPr>
        <w:t xml:space="preserve">даних </w:t>
      </w:r>
      <w:r>
        <w:t xml:space="preserve">таблиці </w:t>
      </w:r>
      <w:r>
        <w:rPr>
          <w:lang w:val="ru-RU" w:eastAsia="ru-RU" w:bidi="ru-RU"/>
        </w:rPr>
        <w:t xml:space="preserve">2, становить 92,9 % населення </w:t>
      </w:r>
      <w:r>
        <w:t xml:space="preserve">України або 42,2 </w:t>
      </w:r>
      <w:r>
        <w:rPr>
          <w:lang w:val="ru-RU" w:eastAsia="ru-RU" w:bidi="ru-RU"/>
        </w:rPr>
        <w:t xml:space="preserve">млн. </w:t>
      </w:r>
      <w:r>
        <w:t>осіб. Згідно методики для країн Східної Європи та Азії частка бідного населення у 2013 р. стано</w:t>
      </w:r>
      <w:r>
        <w:t>вила 8,4 % населення України (7,3 млн. осіб).</w:t>
      </w:r>
    </w:p>
    <w:p w:rsidR="00E271D8" w:rsidRDefault="002C6C84">
      <w:pPr>
        <w:pStyle w:val="a5"/>
        <w:framePr w:w="9950" w:h="14007" w:hRule="exact" w:wrap="around" w:vAnchor="page" w:hAnchor="page" w:x="992" w:y="1126"/>
        <w:shd w:val="clear" w:color="auto" w:fill="auto"/>
        <w:spacing w:after="0"/>
        <w:ind w:left="20" w:right="20" w:firstLine="580"/>
        <w:jc w:val="both"/>
      </w:pPr>
      <w:r>
        <w:rPr>
          <w:rStyle w:val="0pt"/>
        </w:rPr>
        <w:t xml:space="preserve">Висновки та подальші дослідження. </w:t>
      </w:r>
      <w:r>
        <w:t xml:space="preserve">Отже, можна стверджувати, що матеріальне становище населення України є вкрай негативним. В залежності від методики визначення чисельності бідного населення у нашій державі у </w:t>
      </w:r>
      <w:r>
        <w:t xml:space="preserve">2013 році фіксується значна частка бідного населення. Завданням держави в умовах проведення економічних реформ створити такий соціальний захист для цієї категорії населення, що сприяв би не тільки виживанню, але й створював умови для економічного розвитку </w:t>
      </w:r>
      <w:r>
        <w:t>цих осіб, з метою отримання ними фінансової незалежності.</w:t>
      </w:r>
    </w:p>
    <w:p w:rsidR="00E271D8" w:rsidRDefault="002C6C84">
      <w:pPr>
        <w:pStyle w:val="a5"/>
        <w:framePr w:w="9950" w:h="14007" w:hRule="exact" w:wrap="around" w:vAnchor="page" w:hAnchor="page" w:x="992" w:y="1126"/>
        <w:shd w:val="clear" w:color="auto" w:fill="auto"/>
        <w:spacing w:after="0"/>
        <w:ind w:left="20" w:right="20" w:firstLine="580"/>
        <w:jc w:val="both"/>
      </w:pPr>
      <w:r>
        <w:t>Враховуючи тенденції розвитку соціально-економічної ситуації в державі у І півріччі 2014 року, можна прийти до висновку, що масштаби бідності значно зросли. По-перше, зменшилась частка трудових дохо</w:t>
      </w:r>
      <w:r>
        <w:t>дів та соціальних трансфертів у структурі доходів населення. Це означає, що громадяни отримували менший обсяг соціального захисту та зменшилась їх кількість, які отримували заробітну плату. По-друге відбулось зменшення індексу реальної заробітної плати, що</w:t>
      </w:r>
      <w:r>
        <w:t xml:space="preserve"> свідчить про зниження купівельної спроможності населення. По-третє, переважання, у зазначеному періоді, приросту індексу споживчих цін (11,5 %) над приростом розміру середньомісячної заробітної плати (11,2 %). По-четверте, значна девальвація національної </w:t>
      </w:r>
      <w:r>
        <w:t>грошової одиниці у І півріччі 2014 року (44,8 %) при значній частці імпортних товарів на внутрішньому ринку товарів та послуг. По-п’яте, зменшення обсягу випуску промислової продукції (-7,4 %), що призвело до значного вивільнення працівників. Основним чинн</w:t>
      </w:r>
      <w:r>
        <w:t>иком, даного стану справ, є суспільно-політична ситуація в країні, окупація її значної території іноземним агресором та ведення бойових дій у Донецькій і Луганській областях.</w:t>
      </w:r>
    </w:p>
    <w:p w:rsidR="00E271D8" w:rsidRDefault="002C6C84">
      <w:pPr>
        <w:pStyle w:val="a5"/>
        <w:framePr w:w="9950" w:h="14007" w:hRule="exact" w:wrap="around" w:vAnchor="page" w:hAnchor="page" w:x="992" w:y="1126"/>
        <w:shd w:val="clear" w:color="auto" w:fill="auto"/>
        <w:spacing w:after="0"/>
        <w:ind w:left="20" w:right="20" w:firstLine="580"/>
        <w:jc w:val="both"/>
      </w:pPr>
      <w:r>
        <w:t>Основними напрямами підвищення добробуту населення України та відповідно подоланн</w:t>
      </w:r>
      <w:r>
        <w:t>я бідності, необхідно здійснювати за такими напрямами: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стабілізувати економічну та суспільно-політичну ситуації в державі;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93" w:lineRule="exact"/>
        <w:ind w:left="20" w:firstLine="580"/>
        <w:jc w:val="both"/>
      </w:pPr>
      <w:r>
        <w:t>відновити виробництво та стимулювання економічного зростання;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сприяти зайнятості населення та розвитку ринку праці;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/>
        <w:ind w:left="20" w:right="20" w:firstLine="580"/>
        <w:jc w:val="both"/>
      </w:pPr>
      <w:r>
        <w:t xml:space="preserve"> удосконалити м</w:t>
      </w:r>
      <w:r>
        <w:t>еханізм оплати праці та соціального діалогу як основних чинників створення умов для гідної праці;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розвивати систему соціального страхування;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удосконалити пенсійну систему;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реформувати систему соціального захисту;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0" w:line="293" w:lineRule="exact"/>
        <w:ind w:left="20" w:firstLine="580"/>
        <w:jc w:val="both"/>
      </w:pPr>
      <w:r>
        <w:t xml:space="preserve"> соціальну підтримку сімей, дітей та молоді;</w:t>
      </w:r>
    </w:p>
    <w:p w:rsidR="00E271D8" w:rsidRDefault="002C6C84">
      <w:pPr>
        <w:pStyle w:val="a5"/>
        <w:framePr w:w="9950" w:h="14007" w:hRule="exact" w:wrap="around" w:vAnchor="page" w:hAnchor="page" w:x="992" w:y="1126"/>
        <w:numPr>
          <w:ilvl w:val="0"/>
          <w:numId w:val="1"/>
        </w:numPr>
        <w:shd w:val="clear" w:color="auto" w:fill="auto"/>
        <w:spacing w:after="256" w:line="293" w:lineRule="exact"/>
        <w:ind w:left="20" w:firstLine="580"/>
        <w:jc w:val="both"/>
      </w:pPr>
      <w:r>
        <w:t xml:space="preserve"> удосконалювати методологічні підходи до оцінки бідності.</w:t>
      </w:r>
    </w:p>
    <w:p w:rsidR="00E271D8" w:rsidRDefault="002C6C84">
      <w:pPr>
        <w:pStyle w:val="30"/>
        <w:framePr w:w="9950" w:h="14007" w:hRule="exact" w:wrap="around" w:vAnchor="page" w:hAnchor="page" w:x="992" w:y="1126"/>
        <w:shd w:val="clear" w:color="auto" w:fill="auto"/>
        <w:spacing w:before="0"/>
      </w:pPr>
      <w:r>
        <w:t>Список літератури:</w:t>
      </w:r>
    </w:p>
    <w:p w:rsidR="00E271D8" w:rsidRDefault="002C6C84">
      <w:pPr>
        <w:pStyle w:val="40"/>
        <w:framePr w:w="9950" w:h="14007" w:hRule="exact" w:wrap="around" w:vAnchor="page" w:hAnchor="page" w:x="992" w:y="1126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Державний комітет статистики України [Електронний ресурс]. - Режим доступу : Ьир:/Мшш. </w:t>
      </w:r>
      <w:r>
        <w:rPr>
          <w:lang w:val="en-US" w:eastAsia="en-US" w:bidi="en-US"/>
        </w:rPr>
        <w:t xml:space="preserve">ukrstat.gov. </w:t>
      </w:r>
      <w:r>
        <w:t>иа.</w:t>
      </w:r>
    </w:p>
    <w:p w:rsidR="00E271D8" w:rsidRDefault="002C6C84">
      <w:pPr>
        <w:pStyle w:val="40"/>
        <w:framePr w:w="9950" w:h="14007" w:hRule="exact" w:wrap="around" w:vAnchor="page" w:hAnchor="page" w:x="992" w:y="1126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Закон України “Про державний</w:t>
      </w:r>
      <w:r>
        <w:t xml:space="preserve"> бюджет України на 2014 рік </w:t>
      </w:r>
      <w:hyperlink r:id="rId7" w:history="1">
        <w:r>
          <w:rPr>
            <w:rStyle w:val="a3"/>
            <w:lang w:val="en-US" w:eastAsia="en-US" w:bidi="en-US"/>
          </w:rPr>
          <w:t>http://zakon2.rada.gov</w:t>
        </w:r>
      </w:hyperlink>
      <w:r>
        <w:rPr>
          <w:lang w:val="en-US" w:eastAsia="en-US" w:bidi="en-US"/>
        </w:rPr>
        <w:t xml:space="preserve">. </w:t>
      </w:r>
      <w:r>
        <w:t>ua/laws/show/719-18.</w:t>
      </w:r>
    </w:p>
    <w:p w:rsidR="00E271D8" w:rsidRDefault="002C6C84">
      <w:pPr>
        <w:pStyle w:val="40"/>
        <w:framePr w:w="9950" w:h="14007" w:hRule="exact" w:wrap="around" w:vAnchor="page" w:hAnchor="page" w:x="992" w:y="1126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Закон України «Про оплату праці» [Електронний ресурс]. - Режим доступу : </w:t>
      </w:r>
      <w:hyperlink r:id="rId8" w:history="1">
        <w:r>
          <w:rPr>
            <w:rStyle w:val="a3"/>
            <w:lang w:val="en-US" w:eastAsia="en-US" w:bidi="en-US"/>
          </w:rPr>
          <w:t>http://zakon4.rada.gov</w:t>
        </w:r>
      </w:hyperlink>
      <w:r>
        <w:rPr>
          <w:lang w:val="en-US" w:eastAsia="en-US" w:bidi="en-US"/>
        </w:rPr>
        <w:t xml:space="preserve">. </w:t>
      </w:r>
      <w:r>
        <w:t>ua/laws/show/108/95-</w:t>
      </w:r>
    </w:p>
    <w:p w:rsidR="00E271D8" w:rsidRDefault="002C6C84">
      <w:pPr>
        <w:pStyle w:val="40"/>
        <w:framePr w:w="9950" w:h="14007" w:hRule="exact" w:wrap="around" w:vAnchor="page" w:hAnchor="page" w:x="992" w:y="1126"/>
        <w:shd w:val="clear" w:color="auto" w:fill="auto"/>
        <w:ind w:left="20"/>
      </w:pPr>
      <w:r>
        <w:t>%D0%B2%D1%80?test=dCCMfOm7xBWMMEeEZi5VhzNlШ4MUs80msh8Ie6.</w:t>
      </w:r>
    </w:p>
    <w:p w:rsidR="00E271D8" w:rsidRDefault="002C6C84">
      <w:pPr>
        <w:pStyle w:val="40"/>
        <w:framePr w:w="9950" w:h="14007" w:hRule="exact" w:wrap="around" w:vAnchor="page" w:hAnchor="page" w:x="992" w:y="1126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Закон України «Про прожитковий мінімум» [Електронний ресурс]. - Режим доступу: </w:t>
      </w:r>
      <w:hyperlink r:id="rId9" w:history="1">
        <w:r>
          <w:rPr>
            <w:rStyle w:val="a3"/>
            <w:lang w:val="en-US" w:eastAsia="en-US" w:bidi="en-US"/>
          </w:rPr>
          <w:t>http://zakon4.rada.gov</w:t>
        </w:r>
      </w:hyperlink>
      <w:r>
        <w:rPr>
          <w:lang w:val="en-US" w:eastAsia="en-US" w:bidi="en-US"/>
        </w:rPr>
        <w:t xml:space="preserve">. </w:t>
      </w:r>
      <w:r>
        <w:t>ua/laws/show/966-14.</w:t>
      </w:r>
    </w:p>
    <w:p w:rsidR="00E271D8" w:rsidRDefault="002C6C84">
      <w:pPr>
        <w:pStyle w:val="40"/>
        <w:framePr w:w="9950" w:h="14007" w:hRule="exact" w:wrap="around" w:vAnchor="page" w:hAnchor="page" w:x="992" w:y="1126"/>
        <w:numPr>
          <w:ilvl w:val="0"/>
          <w:numId w:val="2"/>
        </w:numPr>
        <w:shd w:val="clear" w:color="auto" w:fill="auto"/>
        <w:ind w:left="20" w:right="20" w:firstLine="580"/>
      </w:pPr>
      <w:r>
        <w:t xml:space="preserve"> Коцур А. С. Пр</w:t>
      </w:r>
      <w:r>
        <w:t xml:space="preserve">іоритетні напрями розвитку підприємництва як основи подолання бідності. </w:t>
      </w:r>
      <w:r>
        <w:rPr>
          <w:lang w:val="ru-RU" w:eastAsia="ru-RU" w:bidi="ru-RU"/>
        </w:rPr>
        <w:t>Особенности развития регионов Украины в новых экономических условиях : материалы пятой всеукраинской научной web-конференции молодых ученых / А. С. Коцур - Симферополь : ДИАЙПИ, 2014 -</w:t>
      </w:r>
      <w:r>
        <w:rPr>
          <w:lang w:val="ru-RU" w:eastAsia="ru-RU" w:bidi="ru-RU"/>
        </w:rPr>
        <w:t xml:space="preserve"> С. 227-229.</w:t>
      </w:r>
    </w:p>
    <w:p w:rsidR="00E271D8" w:rsidRDefault="002C6C84">
      <w:pPr>
        <w:pStyle w:val="a7"/>
        <w:framePr w:wrap="around" w:vAnchor="page" w:hAnchor="page" w:x="982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rPr>
          <w:lang w:val="ru-RU" w:eastAsia="ru-RU" w:bidi="ru-RU"/>
        </w:rPr>
        <w:t xml:space="preserve">1818-2682. Наука молода, 2014 </w:t>
      </w:r>
      <w:r>
        <w:t xml:space="preserve">рік. </w:t>
      </w:r>
      <w:r>
        <w:rPr>
          <w:lang w:val="ru-RU" w:eastAsia="ru-RU" w:bidi="ru-RU"/>
        </w:rPr>
        <w:t>№ 21</w:t>
      </w:r>
    </w:p>
    <w:p w:rsidR="00E271D8" w:rsidRDefault="002C6C84">
      <w:pPr>
        <w:pStyle w:val="a7"/>
        <w:framePr w:wrap="around" w:vAnchor="page" w:hAnchor="page" w:x="10702" w:y="15623"/>
        <w:shd w:val="clear" w:color="auto" w:fill="auto"/>
        <w:spacing w:line="170" w:lineRule="exact"/>
        <w:ind w:left="20"/>
      </w:pPr>
      <w:r>
        <w:t>41</w:t>
      </w:r>
    </w:p>
    <w:p w:rsidR="00E271D8" w:rsidRDefault="00E271D8">
      <w:pPr>
        <w:rPr>
          <w:sz w:val="2"/>
          <w:szCs w:val="2"/>
        </w:rPr>
        <w:sectPr w:rsidR="00E271D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71D8" w:rsidRDefault="002C6C84">
      <w:pPr>
        <w:pStyle w:val="40"/>
        <w:framePr w:w="9931" w:h="2261" w:hRule="exact" w:wrap="around" w:vAnchor="page" w:hAnchor="page" w:x="1001" w:y="1218"/>
        <w:numPr>
          <w:ilvl w:val="0"/>
          <w:numId w:val="2"/>
        </w:numPr>
        <w:shd w:val="clear" w:color="auto" w:fill="auto"/>
        <w:ind w:firstLine="600"/>
      </w:pPr>
      <w:r>
        <w:lastRenderedPageBreak/>
        <w:t xml:space="preserve"> Монетарний огляд за перше півріччя 2014 року [Електронний ресурс]. - Режим доступу : Ьіїр://умтг. </w:t>
      </w:r>
      <w:r>
        <w:rPr>
          <w:lang w:val="en-US" w:eastAsia="en-US" w:bidi="en-US"/>
        </w:rPr>
        <w:t xml:space="preserve">bank.gov. </w:t>
      </w:r>
      <w:r>
        <w:t>иа/доссаіа1од/досишвпі?ід=9792473.</w:t>
      </w:r>
    </w:p>
    <w:p w:rsidR="00E271D8" w:rsidRDefault="002C6C84">
      <w:pPr>
        <w:pStyle w:val="40"/>
        <w:framePr w:w="9931" w:h="2261" w:hRule="exact" w:wrap="around" w:vAnchor="page" w:hAnchor="page" w:x="1001" w:y="1218"/>
        <w:numPr>
          <w:ilvl w:val="0"/>
          <w:numId w:val="2"/>
        </w:numPr>
        <w:shd w:val="clear" w:color="auto" w:fill="auto"/>
        <w:ind w:firstLine="600"/>
      </w:pPr>
      <w:r>
        <w:t xml:space="preserve"> Соціально-економічний розвиток України за січень-червень 2014 року. Державна служба статистики Ьіїр://умтг. </w:t>
      </w:r>
      <w:r>
        <w:rPr>
          <w:lang w:val="en-US" w:eastAsia="en-US" w:bidi="en-US"/>
        </w:rPr>
        <w:t xml:space="preserve">ukrstat.gov. </w:t>
      </w:r>
      <w:r>
        <w:t>иа/.</w:t>
      </w:r>
    </w:p>
    <w:p w:rsidR="00E271D8" w:rsidRDefault="002C6C84">
      <w:pPr>
        <w:pStyle w:val="40"/>
        <w:framePr w:w="9931" w:h="2261" w:hRule="exact" w:wrap="around" w:vAnchor="page" w:hAnchor="page" w:x="1001" w:y="1218"/>
        <w:numPr>
          <w:ilvl w:val="0"/>
          <w:numId w:val="2"/>
        </w:numPr>
        <w:shd w:val="clear" w:color="auto" w:fill="auto"/>
        <w:tabs>
          <w:tab w:val="left" w:pos="1858"/>
          <w:tab w:val="left" w:pos="4704"/>
          <w:tab w:val="right" w:pos="7550"/>
          <w:tab w:val="left" w:pos="7757"/>
        </w:tabs>
        <w:ind w:firstLine="600"/>
      </w:pPr>
      <w:r>
        <w:t xml:space="preserve"> Постанова КМУ “Про затвердження наборів продуктів харчування, наборів непродовольчих товарів та наборів послуг для основних соці</w:t>
      </w:r>
      <w:r>
        <w:t>альних і демографічних груп населення” №</w:t>
      </w:r>
      <w:r>
        <w:tab/>
        <w:t>656 від 14.04.2000 р.</w:t>
      </w:r>
      <w:r>
        <w:tab/>
        <w:t>[Електронний ресурс].</w:t>
      </w:r>
      <w:r>
        <w:tab/>
        <w:t>-</w:t>
      </w:r>
      <w:r>
        <w:tab/>
        <w:t>Режим доступу :</w:t>
      </w:r>
    </w:p>
    <w:p w:rsidR="00E271D8" w:rsidRDefault="00E271D8">
      <w:pPr>
        <w:pStyle w:val="40"/>
        <w:framePr w:w="9931" w:h="2261" w:hRule="exact" w:wrap="around" w:vAnchor="page" w:hAnchor="page" w:x="1001" w:y="1218"/>
        <w:shd w:val="clear" w:color="auto" w:fill="auto"/>
        <w:jc w:val="left"/>
      </w:pPr>
      <w:hyperlink r:id="rId10" w:history="1">
        <w:r w:rsidR="002C6C84">
          <w:rPr>
            <w:rStyle w:val="a3"/>
            <w:lang w:val="en-US" w:eastAsia="en-US" w:bidi="en-US"/>
          </w:rPr>
          <w:t>http://zakon2.rada.gov.ua/1aws/show/656-2000-%D0%BF</w:t>
        </w:r>
      </w:hyperlink>
      <w:r w:rsidR="002C6C84">
        <w:rPr>
          <w:lang w:val="en-US" w:eastAsia="en-US" w:bidi="en-US"/>
        </w:rPr>
        <w:t>.</w:t>
      </w:r>
    </w:p>
    <w:p w:rsidR="00E271D8" w:rsidRDefault="002C6C84">
      <w:pPr>
        <w:pStyle w:val="a7"/>
        <w:framePr w:wrap="around" w:vAnchor="page" w:hAnchor="page" w:x="977" w:y="15666"/>
        <w:shd w:val="clear" w:color="auto" w:fill="auto"/>
        <w:spacing w:line="170" w:lineRule="exact"/>
        <w:ind w:left="20"/>
      </w:pPr>
      <w:r>
        <w:t>42</w:t>
      </w:r>
    </w:p>
    <w:p w:rsidR="00E271D8" w:rsidRDefault="00E271D8">
      <w:pPr>
        <w:rPr>
          <w:sz w:val="2"/>
          <w:szCs w:val="2"/>
        </w:rPr>
      </w:pPr>
    </w:p>
    <w:sectPr w:rsidR="00E271D8" w:rsidSect="00E271D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84" w:rsidRDefault="002C6C84" w:rsidP="00E271D8">
      <w:r>
        <w:separator/>
      </w:r>
    </w:p>
  </w:endnote>
  <w:endnote w:type="continuationSeparator" w:id="1">
    <w:p w:rsidR="002C6C84" w:rsidRDefault="002C6C84" w:rsidP="00E2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84" w:rsidRDefault="002C6C84"/>
  </w:footnote>
  <w:footnote w:type="continuationSeparator" w:id="1">
    <w:p w:rsidR="002C6C84" w:rsidRDefault="002C6C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5E"/>
    <w:multiLevelType w:val="multilevel"/>
    <w:tmpl w:val="CB4E1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0664D"/>
    <w:multiLevelType w:val="multilevel"/>
    <w:tmpl w:val="EE4C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71D8"/>
    <w:rsid w:val="000074C6"/>
    <w:rsid w:val="002C6C84"/>
    <w:rsid w:val="00E2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D8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E2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E27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ий текст (2)"/>
    <w:basedOn w:val="2"/>
    <w:rsid w:val="00E271D8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E271D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sid w:val="00E271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0pt">
    <w:name w:val="Основний текст (4) + Напівжирний;Інтервал 0 pt"/>
    <w:basedOn w:val="4"/>
    <w:rsid w:val="00E271D8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E27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ий текст + Напівжирний;Інтервал 0 pt"/>
    <w:basedOn w:val="a4"/>
    <w:rsid w:val="00E271D8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E2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a">
    <w:name w:val="Підпис до таблиці"/>
    <w:basedOn w:val="a8"/>
    <w:rsid w:val="00E271D8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0pt0">
    <w:name w:val="Основний текст + Напівжирний;Інтервал 0 pt"/>
    <w:basedOn w:val="a4"/>
    <w:rsid w:val="00E271D8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b">
    <w:name w:val="Основний текст"/>
    <w:basedOn w:val="a4"/>
    <w:rsid w:val="00E271D8"/>
    <w:rPr>
      <w:color w:val="000000"/>
      <w:w w:val="100"/>
      <w:position w:val="0"/>
      <w:lang w:val="uk-UA" w:eastAsia="uk-UA" w:bidi="uk-UA"/>
    </w:rPr>
  </w:style>
  <w:style w:type="character" w:customStyle="1" w:styleId="1pt">
    <w:name w:val="Основний текст + Інтервал 1 pt"/>
    <w:basedOn w:val="a4"/>
    <w:rsid w:val="00E271D8"/>
    <w:rPr>
      <w:color w:val="000000"/>
      <w:spacing w:val="28"/>
      <w:w w:val="100"/>
      <w:position w:val="0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E271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E271D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E271D8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40">
    <w:name w:val="Основний текст (4)"/>
    <w:basedOn w:val="a"/>
    <w:link w:val="4"/>
    <w:rsid w:val="00E271D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a7">
    <w:name w:val="Колонтитул"/>
    <w:basedOn w:val="a"/>
    <w:link w:val="a6"/>
    <w:rsid w:val="00E271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9">
    <w:name w:val="Підпис до таблиці"/>
    <w:basedOn w:val="a"/>
    <w:link w:val="a8"/>
    <w:rsid w:val="00E271D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1aws/show/656-200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13655</Words>
  <Characters>7784</Characters>
  <Application>Microsoft Office Word</Application>
  <DocSecurity>0</DocSecurity>
  <Lines>64</Lines>
  <Paragraphs>42</Paragraphs>
  <ScaleCrop>false</ScaleCrop>
  <Company>Microsoft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2017-06-30T08:19:00Z</dcterms:created>
  <dcterms:modified xsi:type="dcterms:W3CDTF">2017-06-30T08:20:00Z</dcterms:modified>
</cp:coreProperties>
</file>