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10" w:rsidRDefault="001D4B71">
      <w:pPr>
        <w:pStyle w:val="20"/>
        <w:framePr w:w="3682" w:h="461" w:hRule="exact" w:wrap="around" w:vAnchor="page" w:hAnchor="page" w:x="1410" w:y="1069"/>
        <w:shd w:val="clear" w:color="auto" w:fill="auto"/>
        <w:spacing w:after="36" w:line="160" w:lineRule="exact"/>
        <w:ind w:left="40"/>
      </w:pPr>
      <w:r>
        <w:t>О. Коваль, Н. Микитюк</w:t>
      </w:r>
    </w:p>
    <w:p w:rsidR="00FA1010" w:rsidRDefault="001D4B71">
      <w:pPr>
        <w:pStyle w:val="a5"/>
        <w:framePr w:w="3682" w:h="461" w:hRule="exact" w:wrap="around" w:vAnchor="page" w:hAnchor="page" w:x="1410" w:y="1069"/>
        <w:shd w:val="clear" w:color="auto" w:fill="auto"/>
        <w:spacing w:before="0" w:line="170" w:lineRule="exact"/>
        <w:ind w:left="40"/>
      </w:pPr>
      <w:r>
        <w:t>Нефінансова звітність як складова .</w:t>
      </w:r>
    </w:p>
    <w:p w:rsidR="00FA1010" w:rsidRDefault="001D4B71">
      <w:pPr>
        <w:pStyle w:val="22"/>
        <w:framePr w:w="9106" w:h="12118" w:hRule="exact" w:wrap="around" w:vAnchor="page" w:hAnchor="page" w:x="1414" w:y="2514"/>
        <w:shd w:val="clear" w:color="auto" w:fill="auto"/>
        <w:spacing w:after="426" w:line="170" w:lineRule="exact"/>
        <w:ind w:right="40"/>
      </w:pPr>
      <w:r>
        <w:t>Ольга КОВАЛЬ, Надія МИКИТЮК</w:t>
      </w:r>
    </w:p>
    <w:p w:rsidR="00FA1010" w:rsidRDefault="001D4B71">
      <w:pPr>
        <w:pStyle w:val="10"/>
        <w:framePr w:w="9106" w:h="12118" w:hRule="exact" w:wrap="around" w:vAnchor="page" w:hAnchor="page" w:x="1414" w:y="2514"/>
        <w:shd w:val="clear" w:color="auto" w:fill="auto"/>
        <w:spacing w:before="0" w:after="459"/>
        <w:ind w:left="20"/>
      </w:pPr>
      <w:bookmarkStart w:id="0" w:name="bookmark0"/>
      <w:r>
        <w:t>НЕФІНАНСОВА ЗВІТНІСТЬ ЯК СКЛАДОВА ІНФОРМАЦІЙНОЇ СИСТЕМИ ПІДПРИЄМСТВ</w:t>
      </w:r>
      <w:bookmarkEnd w:id="0"/>
    </w:p>
    <w:p w:rsidR="00FA1010" w:rsidRDefault="001D4B71">
      <w:pPr>
        <w:pStyle w:val="30"/>
        <w:framePr w:w="9106" w:h="12118" w:hRule="exact" w:wrap="around" w:vAnchor="page" w:hAnchor="page" w:x="1414" w:y="2514"/>
        <w:shd w:val="clear" w:color="auto" w:fill="auto"/>
        <w:spacing w:before="0"/>
        <w:ind w:left="20" w:right="40" w:firstLine="280"/>
      </w:pPr>
      <w:r>
        <w:t xml:space="preserve">Порушено проблему подання вітчизняними підприємствами нефінансової звітності. Проведено порівняльний </w:t>
      </w:r>
      <w:r>
        <w:t>аналіз фінансової та нефінансової звітності за низкою ознак. Означено сутнісні характеристики та особливості звітності підприємств України. Окрему увагу приділено зв’язку нефінансової звітності з обліковою системою підприємства.</w:t>
      </w:r>
    </w:p>
    <w:p w:rsidR="00FA1010" w:rsidRDefault="001D4B71">
      <w:pPr>
        <w:pStyle w:val="30"/>
        <w:framePr w:w="9106" w:h="12118" w:hRule="exact" w:wrap="around" w:vAnchor="page" w:hAnchor="page" w:x="1414" w:y="2514"/>
        <w:shd w:val="clear" w:color="auto" w:fill="auto"/>
        <w:spacing w:before="0"/>
        <w:ind w:left="20" w:right="40" w:firstLine="280"/>
      </w:pPr>
      <w:r>
        <w:rPr>
          <w:lang w:val="en-US" w:eastAsia="en-US" w:bidi="en-US"/>
        </w:rPr>
        <w:t>Violated problem submitting</w:t>
      </w:r>
      <w:r>
        <w:rPr>
          <w:lang w:val="en-US" w:eastAsia="en-US" w:bidi="en-US"/>
        </w:rPr>
        <w:t xml:space="preserve"> domestic enterprises of non-financial reporting. A comparative analysis of financial and non-financial reporting on a number of grounds. The author determined the essential characteristics and features reporting Ukraine. Special attention is paid to non-f</w:t>
      </w:r>
      <w:r>
        <w:rPr>
          <w:lang w:val="en-US" w:eastAsia="en-US" w:bidi="en-US"/>
        </w:rPr>
        <w:t>inancial reporting connection with the accounting system of the enterprise.</w:t>
      </w:r>
    </w:p>
    <w:p w:rsidR="00FA1010" w:rsidRDefault="001D4B71">
      <w:pPr>
        <w:pStyle w:val="a7"/>
        <w:framePr w:w="9106" w:h="12118" w:hRule="exact" w:wrap="around" w:vAnchor="page" w:hAnchor="page" w:x="1414" w:y="2514"/>
        <w:shd w:val="clear" w:color="auto" w:fill="auto"/>
        <w:spacing w:before="0"/>
        <w:ind w:left="20" w:right="40" w:firstLine="280"/>
      </w:pPr>
      <w:r>
        <w:t>Сучасні вимоги до інформаційної бази управління підприємством виходять далеко за межі фінансових звітів і вимагають даних не лише про фінансові, а й про соціальні та екологічні асп</w:t>
      </w:r>
      <w:r>
        <w:t>екти діяльності. За твердженням міжнародних експертів, саме звіт із соціальної відповідальності бізнесу (нефінансовий звіт) є ефективним інструментом внутрішньої та зовнішньої діагностики результатів діяльності підприємств, установ і організацій, основою д</w:t>
      </w:r>
      <w:r>
        <w:t>ля розроблення та впровадження ними короткострокових програм і довгострокових проектів.</w:t>
      </w:r>
    </w:p>
    <w:p w:rsidR="00FA1010" w:rsidRDefault="001D4B71">
      <w:pPr>
        <w:pStyle w:val="a7"/>
        <w:framePr w:w="9106" w:h="12118" w:hRule="exact" w:wrap="around" w:vAnchor="page" w:hAnchor="page" w:x="1414" w:y="2514"/>
        <w:shd w:val="clear" w:color="auto" w:fill="auto"/>
        <w:spacing w:before="0"/>
        <w:ind w:left="20" w:right="40" w:firstLine="280"/>
      </w:pPr>
      <w:r>
        <w:t xml:space="preserve">Використання зарубіжного досвіду у вітчизняній практиці пов’язано з проблемами адаптації та ідентифікації до українського законодавства, забезпеченням довіри до </w:t>
      </w:r>
      <w:r>
        <w:t>нефінансової звітності. Саме ці аспекти зумовлюють актуальність дослідження нефінансової звітності, а саме її змісту, методики та принципів складання, зарубіжного досвіду підготовки, недоліків та переваг щодо впровадження в Україні.</w:t>
      </w:r>
    </w:p>
    <w:p w:rsidR="00FA1010" w:rsidRDefault="001D4B71">
      <w:pPr>
        <w:pStyle w:val="a7"/>
        <w:framePr w:w="9106" w:h="12118" w:hRule="exact" w:wrap="around" w:vAnchor="page" w:hAnchor="page" w:x="1414" w:y="2514"/>
        <w:shd w:val="clear" w:color="auto" w:fill="auto"/>
        <w:spacing w:before="0"/>
        <w:ind w:left="20" w:right="40" w:firstLine="280"/>
      </w:pPr>
      <w:r>
        <w:t>Нефінансова звітність п</w:t>
      </w:r>
      <w:r>
        <w:t>ривертає до себе увагу багатьох експертів-практиків та науковців на пострадянському просторі. Найбільший науковий інтерес мають праці І. Журовської, В. Воробей [2], Д. Ісаєва [3], Л. Коновалової, М. Корсакова, С. Літовченко, В. Якимець [4], О. Алігаджієвої</w:t>
      </w:r>
      <w:r>
        <w:t xml:space="preserve"> [1] та ін. Однак недостатньо уваги в наукових дослідженнях приділяється економічним аспектам цієї проблеми, зокрема визначенню місця нефінансової звітності в системі звітності підприємства як одного з важливих елементів методу бухгалтерського обліку.</w:t>
      </w:r>
    </w:p>
    <w:p w:rsidR="00FA1010" w:rsidRDefault="001D4B71">
      <w:pPr>
        <w:pStyle w:val="a7"/>
        <w:framePr w:w="9106" w:h="12118" w:hRule="exact" w:wrap="around" w:vAnchor="page" w:hAnchor="page" w:x="1414" w:y="2514"/>
        <w:shd w:val="clear" w:color="auto" w:fill="auto"/>
        <w:spacing w:before="0"/>
        <w:ind w:left="20" w:right="40" w:firstLine="280"/>
      </w:pPr>
      <w:r>
        <w:t>Мето</w:t>
      </w:r>
      <w:r>
        <w:t>ю статті єдослідження сутності не фінансової звітності, її узгодження з фінансовою звітністю та місця в єдиній інформаційній системі підприємства.</w:t>
      </w:r>
    </w:p>
    <w:p w:rsidR="00FA1010" w:rsidRDefault="001D4B71">
      <w:pPr>
        <w:pStyle w:val="a7"/>
        <w:framePr w:w="9106" w:h="12118" w:hRule="exact" w:wrap="around" w:vAnchor="page" w:hAnchor="page" w:x="1414" w:y="2514"/>
        <w:shd w:val="clear" w:color="auto" w:fill="auto"/>
        <w:spacing w:before="0"/>
        <w:ind w:left="20" w:right="40" w:firstLine="280"/>
      </w:pPr>
      <w:r>
        <w:t>Нефінансова звітність є відносно новим інструментом як для світової так і для вітчизняної практики. Якщо фіна</w:t>
      </w:r>
      <w:r>
        <w:t>нсова звітність складається підприємствами вже приблизно 150 років, то сама ідея подання нефінансової звітності виникла порівняно недавно. Перші нефінансові звіти були розроблені європей</w:t>
      </w:r>
      <w:r>
        <w:softHyphen/>
        <w:t xml:space="preserve">ськими компаніями в 1980-х </w:t>
      </w:r>
      <w:r>
        <w:rPr>
          <w:lang w:val="en-US" w:eastAsia="en-US" w:bidi="en-US"/>
        </w:rPr>
        <w:t xml:space="preserve">pp. </w:t>
      </w:r>
      <w:r>
        <w:t>Найбільшого поширення нефінансова звіт</w:t>
      </w:r>
      <w:r>
        <w:t xml:space="preserve">ність отримала в Європі (лідер - Великобританія) та Північній Америці. В азіатському регіоні активно підключилися до процесу звітності у 1990-х </w:t>
      </w:r>
      <w:r>
        <w:rPr>
          <w:lang w:val="en-US" w:eastAsia="en-US" w:bidi="en-US"/>
        </w:rPr>
        <w:t xml:space="preserve">pp. </w:t>
      </w:r>
      <w:r>
        <w:t>компаніїЯпоніїта Південної Кореї. В Україні необхідність надання нефінансових звітів пов’язана із виходом пі</w:t>
      </w:r>
      <w:r>
        <w:t>дприємств на міжнародні ринки збуту. В останні роки різні за розміром і видами економічної діяльності компанії все частіше публікують свої звіти про соціальну відповідаль</w:t>
      </w:r>
      <w:r>
        <w:softHyphen/>
        <w:t>ність [2].</w:t>
      </w:r>
    </w:p>
    <w:p w:rsidR="00FA1010" w:rsidRDefault="001D4B71">
      <w:pPr>
        <w:pStyle w:val="a7"/>
        <w:framePr w:w="9106" w:h="12118" w:hRule="exact" w:wrap="around" w:vAnchor="page" w:hAnchor="page" w:x="1414" w:y="2514"/>
        <w:shd w:val="clear" w:color="auto" w:fill="auto"/>
        <w:spacing w:before="0"/>
        <w:ind w:left="20" w:right="40" w:firstLine="280"/>
      </w:pPr>
      <w:r>
        <w:t>Виникнення та формування нефінансових звітів відбувалось у відповідь на ре</w:t>
      </w:r>
      <w:r>
        <w:t>альні вимоги практики, тому існують різні підходи щодо пояснення їх призначення, визначення структури, форми та змісту. Базова концепція триєдиного підходу до звітності вимагає від компаній «повного і достовірного розкриття</w:t>
      </w:r>
    </w:p>
    <w:p w:rsidR="00FA1010" w:rsidRDefault="001D4B71">
      <w:pPr>
        <w:pStyle w:val="40"/>
        <w:framePr w:wrap="around" w:vAnchor="page" w:hAnchor="page" w:x="1414" w:y="14984"/>
        <w:shd w:val="clear" w:color="auto" w:fill="auto"/>
        <w:spacing w:before="0" w:line="140" w:lineRule="exact"/>
        <w:ind w:left="20"/>
      </w:pPr>
      <w:r>
        <w:t>© Ольга Коваль, Надія Микитюк, 2</w:t>
      </w:r>
      <w:r>
        <w:t>013.</w:t>
      </w:r>
    </w:p>
    <w:p w:rsidR="00FA1010" w:rsidRDefault="001D4B71">
      <w:pPr>
        <w:pStyle w:val="a5"/>
        <w:framePr w:wrap="around" w:vAnchor="page" w:hAnchor="page" w:x="1376" w:y="15554"/>
        <w:shd w:val="clear" w:color="auto" w:fill="auto"/>
        <w:spacing w:before="0" w:line="170" w:lineRule="exact"/>
        <w:ind w:left="20"/>
      </w:pPr>
      <w:r>
        <w:t>202</w:t>
      </w:r>
    </w:p>
    <w:p w:rsidR="00FA1010" w:rsidRDefault="001D4B71">
      <w:pPr>
        <w:pStyle w:val="32"/>
        <w:framePr w:wrap="around" w:vAnchor="page" w:hAnchor="page" w:x="8307" w:y="15560"/>
        <w:shd w:val="clear" w:color="auto" w:fill="auto"/>
        <w:spacing w:line="130" w:lineRule="exact"/>
        <w:ind w:left="20"/>
      </w:pPr>
      <w:r>
        <w:t>Наука молода № 19, 2013 р.</w:t>
      </w:r>
    </w:p>
    <w:p w:rsidR="00FA1010" w:rsidRDefault="00FA1010">
      <w:pPr>
        <w:rPr>
          <w:sz w:val="2"/>
          <w:szCs w:val="2"/>
        </w:rPr>
        <w:sectPr w:rsidR="00FA10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A1010" w:rsidRDefault="001D4B71">
      <w:pPr>
        <w:pStyle w:val="a5"/>
        <w:framePr w:wrap="around" w:vAnchor="page" w:hAnchor="page" w:x="6207" w:y="1285"/>
        <w:shd w:val="clear" w:color="auto" w:fill="auto"/>
        <w:spacing w:before="0" w:line="170" w:lineRule="exact"/>
        <w:ind w:left="20"/>
      </w:pPr>
      <w:r>
        <w:lastRenderedPageBreak/>
        <w:t>Сучасні проблеми обліку, аналізу та аудиту</w:t>
      </w:r>
    </w:p>
    <w:p w:rsidR="00FA1010" w:rsidRDefault="001D4B71">
      <w:pPr>
        <w:pStyle w:val="a7"/>
        <w:framePr w:w="9082" w:h="13349" w:hRule="exact" w:wrap="around" w:vAnchor="page" w:hAnchor="page" w:x="1426" w:y="1711"/>
        <w:shd w:val="clear" w:color="auto" w:fill="auto"/>
        <w:spacing w:before="0" w:line="254" w:lineRule="exact"/>
        <w:ind w:left="20" w:right="20"/>
      </w:pPr>
      <w:r>
        <w:t xml:space="preserve">інформації про фінансове становище і ділову стратегію (фінансовий звіт), участь компанії в вирішенні суспільних проблем (соціальний звіт) і захисті </w:t>
      </w:r>
      <w:r>
        <w:t>навколишнього середовища (екологічний звіт)» [4, с.129].</w:t>
      </w:r>
    </w:p>
    <w:p w:rsidR="00FA1010" w:rsidRDefault="001D4B71">
      <w:pPr>
        <w:pStyle w:val="a7"/>
        <w:framePr w:w="9082" w:h="13349" w:hRule="exact" w:wrap="around" w:vAnchor="page" w:hAnchor="page" w:x="1426" w:y="1711"/>
        <w:shd w:val="clear" w:color="auto" w:fill="auto"/>
        <w:spacing w:before="0" w:line="254" w:lineRule="exact"/>
        <w:ind w:left="20" w:right="20" w:firstLine="280"/>
      </w:pPr>
      <w:r>
        <w:t>Слід зазначити, що однозначної думки щодо загальної назви звітів про різні аспекти соціальної відповідальності бізнесу не існує. У вітчизняній та світовій практиці використовуються такі визначення дл</w:t>
      </w:r>
      <w:r>
        <w:t xml:space="preserve">я нефінансових звітів як «звіт із корпоративної соціальної відповідальності» </w:t>
      </w:r>
      <w:r>
        <w:rPr>
          <w:lang w:val="en-US" w:eastAsia="en-US" w:bidi="en-US"/>
        </w:rPr>
        <w:t xml:space="preserve">(Corporate Social Responsibility </w:t>
      </w:r>
      <w:r>
        <w:t xml:space="preserve">Reporting),«coцiaльний звіт» </w:t>
      </w:r>
      <w:r>
        <w:rPr>
          <w:lang w:val="en-US" w:eastAsia="en-US" w:bidi="en-US"/>
        </w:rPr>
        <w:t xml:space="preserve">(Social reporting), </w:t>
      </w:r>
      <w:r>
        <w:t xml:space="preserve">«звіт із корпоративної відповідальності» </w:t>
      </w:r>
      <w:r>
        <w:rPr>
          <w:lang w:val="en-US" w:eastAsia="en-US" w:bidi="en-US"/>
        </w:rPr>
        <w:t xml:space="preserve">(Corporate Responsibility Report), </w:t>
      </w:r>
      <w:r>
        <w:t>«звіт зі сталого розв</w:t>
      </w:r>
      <w:r>
        <w:t xml:space="preserve">итку» </w:t>
      </w:r>
      <w:r>
        <w:rPr>
          <w:lang w:val="en-US" w:eastAsia="en-US" w:bidi="en-US"/>
        </w:rPr>
        <w:t xml:space="preserve">(Sustainable Development Reporting), </w:t>
      </w:r>
      <w:r>
        <w:t xml:space="preserve">«звіт із прогресу» </w:t>
      </w:r>
      <w:r>
        <w:rPr>
          <w:lang w:val="en-US" w:eastAsia="en-US" w:bidi="en-US"/>
        </w:rPr>
        <w:t xml:space="preserve">(Progress Report) </w:t>
      </w:r>
      <w:r>
        <w:t>та ін. Ці форми звітності характеризуються: спільною метою; переважно наявністю нефінансової інформації; певними відмінностями, які пов’язані з висвітленням тих чи інших сфер с</w:t>
      </w:r>
      <w:r>
        <w:t>оціальної діяльності підприємств. На сьогодні найбільш поширеними є такі види нефінансових звітів: звіт з прогресу (про виконання принципів Глобального Договору ООН), який складається лише підприємствами - членами Глобального Договору ООН. У звіті відображ</w:t>
      </w:r>
      <w:r>
        <w:t xml:space="preserve">ається стан виконання принципів соціальної відповідальності та плани на майбутнє (не проходить аудит); звіт за </w:t>
      </w:r>
      <w:r>
        <w:rPr>
          <w:lang w:val="en-US" w:eastAsia="en-US" w:bidi="en-US"/>
        </w:rPr>
        <w:t>GRI</w:t>
      </w:r>
      <w:r>
        <w:t>-стандартом (звіт зі сталого розвитку), що містить чіткі індикатори щодо діяльності компанії (можливий аудит); звіт за стандартом АА1000, засн</w:t>
      </w:r>
      <w:r>
        <w:t>ований на діалозі із стейкхолдерами, який струк</w:t>
      </w:r>
      <w:r>
        <w:softHyphen/>
        <w:t>турно відповідає їхнім інформаційним запитам (можливий аудит).</w:t>
      </w:r>
    </w:p>
    <w:p w:rsidR="00FA1010" w:rsidRDefault="001D4B71">
      <w:pPr>
        <w:pStyle w:val="a7"/>
        <w:framePr w:w="9082" w:h="13349" w:hRule="exact" w:wrap="around" w:vAnchor="page" w:hAnchor="page" w:x="1426" w:y="1711"/>
        <w:shd w:val="clear" w:color="auto" w:fill="auto"/>
        <w:spacing w:before="0" w:line="254" w:lineRule="exact"/>
        <w:ind w:left="20" w:right="20" w:firstLine="280"/>
      </w:pPr>
      <w:r>
        <w:t xml:space="preserve">Дослідження практики опублікування нефінансових звітів в Україні за 2005-2010 </w:t>
      </w:r>
      <w:r>
        <w:rPr>
          <w:lang w:val="en-US" w:eastAsia="en-US" w:bidi="en-US"/>
        </w:rPr>
        <w:t xml:space="preserve">pp. </w:t>
      </w:r>
      <w:r>
        <w:t>дало змогу встановити, що основну частку у структурі нефінансов</w:t>
      </w:r>
      <w:r>
        <w:t xml:space="preserve">их звітів складають звіти з прогресу - 91,5 %, і лише 8,5 % - звітів за </w:t>
      </w:r>
      <w:r>
        <w:rPr>
          <w:lang w:val="en-US" w:eastAsia="en-US" w:bidi="en-US"/>
        </w:rPr>
        <w:t>GRI</w:t>
      </w:r>
      <w:r>
        <w:t>-стандартом, тобто перевага надається звітам, які не проходять аудит [2]. Виходячи з наведених показників, можна зазначити, що у переважної більшості вітчизняних підприємств відсутн</w:t>
      </w:r>
      <w:r>
        <w:t xml:space="preserve">є теоретичне обґрунтування і практичний досвід складання стандартизованих нефінансових звітів, хоча ще в 2005 р. компанія СКМ </w:t>
      </w:r>
      <w:r>
        <w:rPr>
          <w:lang w:val="en-US" w:eastAsia="en-US" w:bidi="en-US"/>
        </w:rPr>
        <w:t xml:space="preserve">(System Capital Management) </w:t>
      </w:r>
      <w:r>
        <w:t xml:space="preserve">першою в Україні підготувала нефінансовий звіт за </w:t>
      </w:r>
      <w:r>
        <w:rPr>
          <w:lang w:val="en-US" w:eastAsia="en-US" w:bidi="en-US"/>
        </w:rPr>
        <w:t>GRI</w:t>
      </w:r>
      <w:r>
        <w:t>-стандартом. Вітчизняні підприємства не розуміють</w:t>
      </w:r>
      <w:r>
        <w:t xml:space="preserve"> усіх переваг «стандартизованих» звітів. Суттєвості таким звітам додає необхідність або можливість проходження аудиту, що в свою чергу збільшує довіру до них з боку користувачів та здійснює безпосередній вплив на вартість всього бізнесу.</w:t>
      </w:r>
    </w:p>
    <w:p w:rsidR="00FA1010" w:rsidRDefault="001D4B71">
      <w:pPr>
        <w:pStyle w:val="a7"/>
        <w:framePr w:w="9082" w:h="13349" w:hRule="exact" w:wrap="around" w:vAnchor="page" w:hAnchor="page" w:x="1426" w:y="1711"/>
        <w:shd w:val="clear" w:color="auto" w:fill="auto"/>
        <w:spacing w:before="0" w:line="254" w:lineRule="exact"/>
        <w:ind w:left="20" w:right="20" w:firstLine="280"/>
      </w:pPr>
      <w:r>
        <w:t>За рівнем інтеграц</w:t>
      </w:r>
      <w:r>
        <w:t>ії виокремлюють два підходи до складання нефінансових звітів: у вигляді окре</w:t>
      </w:r>
      <w:r>
        <w:softHyphen/>
        <w:t>мого документа, що описує діяльність підприємства в соціальній та екологічній сферах; у вигляді тематичного розділу річної звітності підприємства [6].</w:t>
      </w:r>
    </w:p>
    <w:p w:rsidR="00FA1010" w:rsidRDefault="001D4B71">
      <w:pPr>
        <w:pStyle w:val="a7"/>
        <w:framePr w:w="9082" w:h="13349" w:hRule="exact" w:wrap="around" w:vAnchor="page" w:hAnchor="page" w:x="1426" w:y="1711"/>
        <w:shd w:val="clear" w:color="auto" w:fill="auto"/>
        <w:spacing w:before="0" w:line="254" w:lineRule="exact"/>
        <w:ind w:left="20" w:right="20" w:firstLine="280"/>
      </w:pPr>
      <w:r>
        <w:t>Фінансові та нефінансові зві</w:t>
      </w:r>
      <w:r>
        <w:t>ти формують єдину інформаційну базу для управління соціально- економічною діяльністю підприємства. Вони не лише доповнюють один одного інформаційно, а й мають спільні ознаки (які не властиві, наприклад, статистичним звітам чи звітам із соціального та пенсі</w:t>
      </w:r>
      <w:r>
        <w:t>йного забезпечення). Основою складання нефінансових звітів є принципи, які за своїм змістом лише чатково відрізняються від принципів фінансової звітності, визначених національними поло</w:t>
      </w:r>
      <w:r>
        <w:softHyphen/>
        <w:t>женнями (стандартами) бухгалтерського обліку (див. рис.1).</w:t>
      </w:r>
    </w:p>
    <w:p w:rsidR="00FA1010" w:rsidRDefault="001D4B71">
      <w:pPr>
        <w:pStyle w:val="a7"/>
        <w:framePr w:w="9082" w:h="13349" w:hRule="exact" w:wrap="around" w:vAnchor="page" w:hAnchor="page" w:x="1426" w:y="1711"/>
        <w:shd w:val="clear" w:color="auto" w:fill="auto"/>
        <w:spacing w:before="0" w:line="254" w:lineRule="exact"/>
        <w:ind w:left="20" w:right="20" w:firstLine="280"/>
      </w:pPr>
      <w:r>
        <w:t>Обидві групи</w:t>
      </w:r>
      <w:r>
        <w:t xml:space="preserve"> наведених принципів містять положення, що характеризують подібні, а інколи і єдині вимоги. Наприклад, щодо об’єктивності або обачності, повноти або повного висвітлення, зіставлення або послідовності. Такі принципи нефінансових звітів, як точність, відкрит</w:t>
      </w:r>
      <w:r>
        <w:t xml:space="preserve">ість, ясність, регулярність, значимість або суттєвість, верифікація та вчасність визначені окремими положеннями вітчизняного законодавства. Разом із тим, існують певні специфічні вимоги, наприклад, щодо контексту сталого розвитку, адже суть цього принципу </w:t>
      </w:r>
      <w:r>
        <w:t>полягає у тому, що організація, яка готує звіт, має прагнути вклю</w:t>
      </w:r>
      <w:r>
        <w:softHyphen/>
        <w:t>чити інформацію про свою результативність до більш широкого контексту соціальних, екологічних та інших меж і обмежень, якщо завдяки йому інформація, що повідомляється, набуває істотного дода</w:t>
      </w:r>
      <w:r>
        <w:t>т</w:t>
      </w:r>
      <w:r>
        <w:softHyphen/>
        <w:t>кового значення. Різний підхід застосовується до визначення періодичності опублікування звітності, що також пояснюється специфікою їхнього призначення. Базовий для нефінансових звітів принцип залучення зацікавлених сторін, який полягає у систематичному з</w:t>
      </w:r>
      <w:r>
        <w:t>алученні зацікавлених сторін до процесу звітності для визначення найбільш важливих питань і послідовного поліпшення якості звітів, не може застосовуватись для фінансової звітності. Інші принципи фінансової звітності, зокрема фактичної (історичної) собіварт</w:t>
      </w:r>
      <w:r>
        <w:t>ості, неперервності, єдиного грошового вимірника, є не суттєвими для нефінансової звітності. Принцип автономності, власне, трансформується у спільну зацікавленість і взаємодію власників бізнесу та підприємства при виконанні поставлених соціальних завдань.</w:t>
      </w:r>
    </w:p>
    <w:p w:rsidR="00FA1010" w:rsidRDefault="001D4B71">
      <w:pPr>
        <w:pStyle w:val="32"/>
        <w:framePr w:wrap="around" w:vAnchor="page" w:hAnchor="page" w:x="1417" w:y="15555"/>
        <w:shd w:val="clear" w:color="auto" w:fill="auto"/>
        <w:spacing w:line="130" w:lineRule="exact"/>
        <w:ind w:left="20"/>
      </w:pPr>
      <w:r>
        <w:t>Наука молода № 19, 2013 р.</w:t>
      </w:r>
    </w:p>
    <w:p w:rsidR="00FA1010" w:rsidRDefault="001D4B71">
      <w:pPr>
        <w:pStyle w:val="a5"/>
        <w:framePr w:wrap="around" w:vAnchor="page" w:hAnchor="page" w:x="10191" w:y="15578"/>
        <w:shd w:val="clear" w:color="auto" w:fill="auto"/>
        <w:spacing w:before="0" w:line="170" w:lineRule="exact"/>
        <w:ind w:left="20"/>
      </w:pPr>
      <w:r>
        <w:t>203</w:t>
      </w:r>
    </w:p>
    <w:p w:rsidR="00FA1010" w:rsidRDefault="00FA1010">
      <w:pPr>
        <w:rPr>
          <w:sz w:val="2"/>
          <w:szCs w:val="2"/>
        </w:rPr>
        <w:sectPr w:rsidR="00FA10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A1010" w:rsidRDefault="00FA1010">
      <w:pPr>
        <w:rPr>
          <w:sz w:val="2"/>
          <w:szCs w:val="2"/>
        </w:rPr>
      </w:pPr>
      <w:r w:rsidRPr="00FA1010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118.05pt;margin-top:155.5pt;width:180.25pt;height:0;z-index:-25166643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FA1010">
        <w:pict>
          <v:shape id="_x0000_s1041" type="#_x0000_t32" style="position:absolute;margin-left:118.05pt;margin-top:155.5pt;width:0;height:32.85pt;z-index:-25166540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FA1010">
        <w:pict>
          <v:shape id="_x0000_s1040" type="#_x0000_t32" style="position:absolute;margin-left:118.05pt;margin-top:188.35pt;width:180.25pt;height:0;z-index:-25166438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FA1010">
        <w:pict>
          <v:shape id="_x0000_s1039" type="#_x0000_t32" style="position:absolute;margin-left:298.3pt;margin-top:155.5pt;width:0;height:32.85pt;z-index:-25166336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FA1010">
        <w:pict>
          <v:shape id="_x0000_s1038" type="#_x0000_t32" style="position:absolute;margin-left:218.85pt;margin-top:100.75pt;width:144.95pt;height:0;z-index:-25166233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FA1010">
        <w:pict>
          <v:shape id="_x0000_s1037" type="#_x0000_t32" style="position:absolute;margin-left:218.85pt;margin-top:100.75pt;width:0;height:32.65pt;z-index:-25166131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FA1010">
        <w:pict>
          <v:shape id="_x0000_s1036" type="#_x0000_t32" style="position:absolute;margin-left:218.85pt;margin-top:133.4pt;width:144.95pt;height:0;z-index:-25166028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FA1010">
        <w:pict>
          <v:shape id="_x0000_s1035" type="#_x0000_t32" style="position:absolute;margin-left:363.8pt;margin-top:100.75pt;width:0;height:32.65pt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FA1010">
        <w:pict>
          <v:shape id="_x0000_s1034" type="#_x0000_t32" style="position:absolute;margin-left:329pt;margin-top:155.75pt;width:163.2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FA1010">
        <w:pict>
          <v:shape id="_x0000_s1033" type="#_x0000_t32" style="position:absolute;margin-left:329pt;margin-top:155.75pt;width:0;height:32.4pt;z-index:-25165721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FA1010">
        <w:pict>
          <v:shape id="_x0000_s1032" type="#_x0000_t32" style="position:absolute;margin-left:329pt;margin-top:188.15pt;width:163.2pt;height:0;z-index:-25165619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FA1010">
        <w:pict>
          <v:shape id="_x0000_s1031" type="#_x0000_t32" style="position:absolute;margin-left:492.2pt;margin-top:155.75pt;width:0;height:32.4pt;z-index:-25165516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FA1010">
        <w:pict>
          <v:shape id="_x0000_s1030" type="#_x0000_t32" style="position:absolute;margin-left:130.05pt;margin-top:361.15pt;width:153.6pt;height:0;z-index:-25165414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FA1010">
        <w:pict>
          <v:shape id="_x0000_s1029" type="#_x0000_t32" style="position:absolute;margin-left:340.8pt;margin-top:361.15pt;width:140.4pt;height:0;z-index:-25165312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FA1010">
        <w:pict>
          <v:shape id="_x0000_s1028" type="#_x0000_t32" style="position:absolute;margin-left:300.7pt;margin-top:239.25pt;width:0;height:104.9pt;z-index:-25165209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FA1010">
        <w:pict>
          <v:shape id="_x0000_s1027" type="#_x0000_t32" style="position:absolute;margin-left:324.45pt;margin-top:240.2pt;width:0;height:103.95pt;z-index:-25165107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FA1010" w:rsidRDefault="001D4B71">
      <w:pPr>
        <w:pStyle w:val="20"/>
        <w:framePr w:w="3682" w:h="464" w:hRule="exact" w:wrap="around" w:vAnchor="page" w:hAnchor="page" w:x="1417" w:y="1092"/>
        <w:shd w:val="clear" w:color="auto" w:fill="auto"/>
        <w:spacing w:after="36" w:line="160" w:lineRule="exact"/>
        <w:ind w:left="40"/>
      </w:pPr>
      <w:r>
        <w:t>О. Коваль, Н. Микитюк</w:t>
      </w:r>
    </w:p>
    <w:p w:rsidR="00FA1010" w:rsidRDefault="001D4B71">
      <w:pPr>
        <w:pStyle w:val="a5"/>
        <w:framePr w:w="3682" w:h="464" w:hRule="exact" w:wrap="around" w:vAnchor="page" w:hAnchor="page" w:x="1417" w:y="1092"/>
        <w:shd w:val="clear" w:color="auto" w:fill="auto"/>
        <w:spacing w:before="0" w:line="170" w:lineRule="exact"/>
        <w:ind w:left="40"/>
      </w:pPr>
      <w:r>
        <w:t>Нефінансова звітність як складова .</w:t>
      </w:r>
    </w:p>
    <w:p w:rsidR="00FA1010" w:rsidRDefault="001D4B71">
      <w:pPr>
        <w:pStyle w:val="50"/>
        <w:framePr w:wrap="around" w:vAnchor="page" w:hAnchor="page" w:x="3049" w:y="3308"/>
        <w:shd w:val="clear" w:color="auto" w:fill="auto"/>
        <w:spacing w:line="160" w:lineRule="exact"/>
        <w:ind w:left="160"/>
        <w:jc w:val="left"/>
      </w:pPr>
      <w:r>
        <w:t>Фінансова звітність</w:t>
      </w:r>
    </w:p>
    <w:p w:rsidR="00FA1010" w:rsidRDefault="001D4B71">
      <w:pPr>
        <w:pStyle w:val="50"/>
        <w:framePr w:w="2174" w:h="490" w:hRule="exact" w:wrap="around" w:vAnchor="page" w:hAnchor="page" w:x="4868" w:y="207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t>Принципи складання звітності</w:t>
      </w:r>
    </w:p>
    <w:p w:rsidR="00FA1010" w:rsidRDefault="001D4B71">
      <w:pPr>
        <w:framePr w:wrap="none" w:vAnchor="page" w:hAnchor="page" w:x="6572" w:y="310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33.75pt">
            <v:imagedata r:id="rId7" r:href="rId8"/>
          </v:shape>
        </w:pict>
      </w:r>
    </w:p>
    <w:p w:rsidR="00FA1010" w:rsidRDefault="001D4B71">
      <w:pPr>
        <w:pStyle w:val="60"/>
        <w:framePr w:w="2558" w:h="2466" w:hRule="exact" w:wrap="around" w:vAnchor="page" w:hAnchor="page" w:x="3049" w:y="4611"/>
        <w:shd w:val="clear" w:color="auto" w:fill="auto"/>
        <w:spacing w:before="0"/>
        <w:ind w:left="20"/>
      </w:pPr>
      <w:r>
        <w:t>Обачність</w:t>
      </w:r>
    </w:p>
    <w:p w:rsidR="00FA1010" w:rsidRDefault="001D4B71">
      <w:pPr>
        <w:pStyle w:val="60"/>
        <w:framePr w:w="2558" w:h="2466" w:hRule="exact" w:wrap="around" w:vAnchor="page" w:hAnchor="page" w:x="3049" w:y="4611"/>
        <w:shd w:val="clear" w:color="auto" w:fill="auto"/>
        <w:spacing w:before="0"/>
        <w:ind w:left="20"/>
      </w:pPr>
      <w:r>
        <w:t>Повне висвітлення</w:t>
      </w:r>
    </w:p>
    <w:p w:rsidR="00FA1010" w:rsidRDefault="001D4B71">
      <w:pPr>
        <w:pStyle w:val="60"/>
        <w:framePr w:w="2558" w:h="2466" w:hRule="exact" w:wrap="around" w:vAnchor="page" w:hAnchor="page" w:x="3049" w:y="4611"/>
        <w:shd w:val="clear" w:color="auto" w:fill="auto"/>
        <w:spacing w:before="0"/>
        <w:ind w:left="20"/>
      </w:pPr>
      <w:r>
        <w:t>Автономність</w:t>
      </w:r>
    </w:p>
    <w:p w:rsidR="00FA1010" w:rsidRDefault="001D4B71">
      <w:pPr>
        <w:pStyle w:val="60"/>
        <w:framePr w:w="2558" w:h="2466" w:hRule="exact" w:wrap="around" w:vAnchor="page" w:hAnchor="page" w:x="3049" w:y="4611"/>
        <w:shd w:val="clear" w:color="auto" w:fill="auto"/>
        <w:spacing w:before="0"/>
        <w:ind w:left="20"/>
      </w:pPr>
      <w:r>
        <w:t>Послідовність</w:t>
      </w:r>
    </w:p>
    <w:p w:rsidR="00FA1010" w:rsidRDefault="001D4B71">
      <w:pPr>
        <w:pStyle w:val="60"/>
        <w:framePr w:w="2558" w:h="2466" w:hRule="exact" w:wrap="around" w:vAnchor="page" w:hAnchor="page" w:x="3049" w:y="4611"/>
        <w:shd w:val="clear" w:color="auto" w:fill="auto"/>
        <w:spacing w:before="0"/>
        <w:ind w:left="20"/>
      </w:pPr>
      <w:r>
        <w:t>Безперервність</w:t>
      </w:r>
    </w:p>
    <w:p w:rsidR="00FA1010" w:rsidRDefault="001D4B71">
      <w:pPr>
        <w:pStyle w:val="60"/>
        <w:framePr w:w="2558" w:h="2466" w:hRule="exact" w:wrap="around" w:vAnchor="page" w:hAnchor="page" w:x="3049" w:y="4611"/>
        <w:shd w:val="clear" w:color="auto" w:fill="auto"/>
        <w:spacing w:before="0"/>
        <w:ind w:left="20"/>
      </w:pPr>
      <w:r>
        <w:t>Нарахування та відповідність</w:t>
      </w:r>
    </w:p>
    <w:p w:rsidR="00FA1010" w:rsidRDefault="001D4B71">
      <w:pPr>
        <w:pStyle w:val="60"/>
        <w:framePr w:w="2558" w:h="2466" w:hRule="exact" w:wrap="around" w:vAnchor="page" w:hAnchor="page" w:x="3049" w:y="4611"/>
        <w:shd w:val="clear" w:color="auto" w:fill="auto"/>
        <w:spacing w:before="0"/>
        <w:ind w:left="20"/>
      </w:pPr>
      <w:r>
        <w:t>доходів і витрат</w:t>
      </w:r>
    </w:p>
    <w:p w:rsidR="00FA1010" w:rsidRDefault="001D4B71">
      <w:pPr>
        <w:pStyle w:val="60"/>
        <w:framePr w:w="2558" w:h="2466" w:hRule="exact" w:wrap="around" w:vAnchor="page" w:hAnchor="page" w:x="3049" w:y="4611"/>
        <w:shd w:val="clear" w:color="auto" w:fill="auto"/>
        <w:spacing w:before="0"/>
        <w:ind w:left="20"/>
      </w:pPr>
      <w:r>
        <w:t>Превалювання сутності</w:t>
      </w:r>
      <w:r>
        <w:t xml:space="preserve"> над</w:t>
      </w:r>
    </w:p>
    <w:p w:rsidR="00FA1010" w:rsidRDefault="001D4B71">
      <w:pPr>
        <w:pStyle w:val="60"/>
        <w:framePr w:w="2558" w:h="2466" w:hRule="exact" w:wrap="around" w:vAnchor="page" w:hAnchor="page" w:x="3049" w:y="4611"/>
        <w:shd w:val="clear" w:color="auto" w:fill="auto"/>
        <w:spacing w:before="0"/>
        <w:ind w:left="20"/>
      </w:pPr>
      <w:r>
        <w:t>формою</w:t>
      </w:r>
    </w:p>
    <w:p w:rsidR="00FA1010" w:rsidRDefault="001D4B71">
      <w:pPr>
        <w:pStyle w:val="60"/>
        <w:framePr w:w="2558" w:h="2466" w:hRule="exact" w:wrap="around" w:vAnchor="page" w:hAnchor="page" w:x="3049" w:y="4611"/>
        <w:shd w:val="clear" w:color="auto" w:fill="auto"/>
        <w:spacing w:before="0"/>
        <w:ind w:left="20" w:right="160"/>
      </w:pPr>
      <w:r>
        <w:t>Історична собівартість Єдиний грошовий вимірник Періодичність</w:t>
      </w:r>
    </w:p>
    <w:p w:rsidR="00FA1010" w:rsidRDefault="001D4B71">
      <w:pPr>
        <w:pStyle w:val="60"/>
        <w:framePr w:w="2294" w:h="2466" w:hRule="exact" w:wrap="around" w:vAnchor="page" w:hAnchor="page" w:x="7196" w:y="4606"/>
        <w:shd w:val="clear" w:color="auto" w:fill="auto"/>
        <w:spacing w:before="0"/>
        <w:ind w:left="100"/>
      </w:pPr>
      <w:r>
        <w:t>Відкритість</w:t>
      </w:r>
    </w:p>
    <w:p w:rsidR="00FA1010" w:rsidRDefault="001D4B71">
      <w:pPr>
        <w:pStyle w:val="60"/>
        <w:framePr w:w="2294" w:h="2466" w:hRule="exact" w:wrap="around" w:vAnchor="page" w:hAnchor="page" w:x="7196" w:y="4606"/>
        <w:shd w:val="clear" w:color="auto" w:fill="auto"/>
        <w:spacing w:before="0"/>
        <w:ind w:left="100"/>
      </w:pPr>
      <w:r>
        <w:t>Залучення зацікавлених</w:t>
      </w:r>
    </w:p>
    <w:p w:rsidR="00FA1010" w:rsidRDefault="001D4B71">
      <w:pPr>
        <w:pStyle w:val="60"/>
        <w:framePr w:w="2294" w:h="2466" w:hRule="exact" w:wrap="around" w:vAnchor="page" w:hAnchor="page" w:x="7196" w:y="4606"/>
        <w:shd w:val="clear" w:color="auto" w:fill="auto"/>
        <w:spacing w:before="0"/>
        <w:ind w:left="100"/>
      </w:pPr>
      <w:r>
        <w:t>сторін</w:t>
      </w:r>
    </w:p>
    <w:p w:rsidR="00FA1010" w:rsidRDefault="001D4B71">
      <w:pPr>
        <w:pStyle w:val="60"/>
        <w:framePr w:w="2294" w:h="2466" w:hRule="exact" w:wrap="around" w:vAnchor="page" w:hAnchor="page" w:x="7196" w:y="4606"/>
        <w:shd w:val="clear" w:color="auto" w:fill="auto"/>
        <w:spacing w:before="0"/>
        <w:ind w:left="100"/>
      </w:pPr>
      <w:r>
        <w:t>Повнота</w:t>
      </w:r>
    </w:p>
    <w:p w:rsidR="00FA1010" w:rsidRDefault="001D4B71">
      <w:pPr>
        <w:pStyle w:val="60"/>
        <w:framePr w:w="2294" w:h="2466" w:hRule="exact" w:wrap="around" w:vAnchor="page" w:hAnchor="page" w:x="7196" w:y="4606"/>
        <w:shd w:val="clear" w:color="auto" w:fill="auto"/>
        <w:spacing w:before="0"/>
        <w:ind w:left="100"/>
      </w:pPr>
      <w:r>
        <w:t>Верифікація</w:t>
      </w:r>
    </w:p>
    <w:p w:rsidR="00FA1010" w:rsidRDefault="001D4B71">
      <w:pPr>
        <w:pStyle w:val="60"/>
        <w:framePr w:w="2294" w:h="2466" w:hRule="exact" w:wrap="around" w:vAnchor="page" w:hAnchor="page" w:x="7196" w:y="4606"/>
        <w:shd w:val="clear" w:color="auto" w:fill="auto"/>
        <w:spacing w:before="0"/>
        <w:ind w:left="100"/>
      </w:pPr>
      <w:r>
        <w:t>Точність</w:t>
      </w:r>
    </w:p>
    <w:p w:rsidR="00FA1010" w:rsidRDefault="001D4B71">
      <w:pPr>
        <w:pStyle w:val="60"/>
        <w:framePr w:w="2294" w:h="2466" w:hRule="exact" w:wrap="around" w:vAnchor="page" w:hAnchor="page" w:x="7196" w:y="4606"/>
        <w:shd w:val="clear" w:color="auto" w:fill="auto"/>
        <w:spacing w:before="0"/>
        <w:ind w:left="100"/>
      </w:pPr>
      <w:r>
        <w:t>Значимість</w:t>
      </w:r>
    </w:p>
    <w:p w:rsidR="00FA1010" w:rsidRDefault="001D4B71">
      <w:pPr>
        <w:pStyle w:val="60"/>
        <w:framePr w:w="2294" w:h="2466" w:hRule="exact" w:wrap="around" w:vAnchor="page" w:hAnchor="page" w:x="7196" w:y="4606"/>
        <w:shd w:val="clear" w:color="auto" w:fill="auto"/>
        <w:spacing w:before="0"/>
        <w:ind w:left="100"/>
      </w:pPr>
      <w:r>
        <w:t>Об’єктивність</w:t>
      </w:r>
    </w:p>
    <w:p w:rsidR="00FA1010" w:rsidRDefault="001D4B71">
      <w:pPr>
        <w:pStyle w:val="60"/>
        <w:framePr w:w="2294" w:h="2466" w:hRule="exact" w:wrap="around" w:vAnchor="page" w:hAnchor="page" w:x="7196" w:y="4606"/>
        <w:shd w:val="clear" w:color="auto" w:fill="auto"/>
        <w:spacing w:before="0"/>
        <w:ind w:left="100"/>
      </w:pPr>
      <w:r>
        <w:t>Контекст сталого розвитку</w:t>
      </w:r>
    </w:p>
    <w:p w:rsidR="00FA1010" w:rsidRDefault="001D4B71">
      <w:pPr>
        <w:pStyle w:val="60"/>
        <w:framePr w:w="2294" w:h="2466" w:hRule="exact" w:wrap="around" w:vAnchor="page" w:hAnchor="page" w:x="7196" w:y="4606"/>
        <w:shd w:val="clear" w:color="auto" w:fill="auto"/>
        <w:spacing w:before="0"/>
        <w:ind w:left="100"/>
      </w:pPr>
      <w:r>
        <w:t>Якість</w:t>
      </w:r>
    </w:p>
    <w:p w:rsidR="00FA1010" w:rsidRDefault="001D4B71">
      <w:pPr>
        <w:pStyle w:val="60"/>
        <w:framePr w:w="2294" w:h="2466" w:hRule="exact" w:wrap="around" w:vAnchor="page" w:hAnchor="page" w:x="7196" w:y="4606"/>
        <w:shd w:val="clear" w:color="auto" w:fill="auto"/>
        <w:spacing w:before="0"/>
        <w:ind w:left="100"/>
      </w:pPr>
      <w:r>
        <w:t>Вчасність</w:t>
      </w:r>
    </w:p>
    <w:p w:rsidR="00FA1010" w:rsidRDefault="001D4B71">
      <w:pPr>
        <w:pStyle w:val="60"/>
        <w:framePr w:w="2294" w:h="2466" w:hRule="exact" w:wrap="around" w:vAnchor="page" w:hAnchor="page" w:x="7196" w:y="4606"/>
        <w:shd w:val="clear" w:color="auto" w:fill="auto"/>
        <w:spacing w:before="0"/>
        <w:ind w:left="100"/>
      </w:pPr>
      <w:r>
        <w:t>Зіставлення</w:t>
      </w:r>
    </w:p>
    <w:p w:rsidR="00FA1010" w:rsidRDefault="001D4B71">
      <w:pPr>
        <w:pStyle w:val="22"/>
        <w:framePr w:w="9082" w:h="248" w:hRule="exact" w:wrap="around" w:vAnchor="page" w:hAnchor="page" w:x="1421" w:y="7764"/>
        <w:shd w:val="clear" w:color="auto" w:fill="auto"/>
        <w:spacing w:after="0" w:line="190" w:lineRule="exact"/>
        <w:jc w:val="center"/>
      </w:pPr>
      <w:r>
        <w:rPr>
          <w:rStyle w:val="2Garamond95pt0pt"/>
          <w:b/>
          <w:bCs/>
        </w:rPr>
        <w:t xml:space="preserve">Рис. 1. </w:t>
      </w:r>
      <w:r>
        <w:t xml:space="preserve">Принципи складання </w:t>
      </w:r>
      <w:r>
        <w:t>звітності підприємствами</w:t>
      </w:r>
    </w:p>
    <w:p w:rsidR="00FA1010" w:rsidRDefault="001D4B71">
      <w:pPr>
        <w:pStyle w:val="a7"/>
        <w:framePr w:w="9082" w:h="6807" w:hRule="exact" w:wrap="around" w:vAnchor="page" w:hAnchor="page" w:x="1421" w:y="8359"/>
        <w:shd w:val="clear" w:color="auto" w:fill="auto"/>
        <w:spacing w:before="0"/>
        <w:ind w:left="20" w:right="20" w:firstLine="280"/>
      </w:pPr>
      <w:r>
        <w:t xml:space="preserve">На міжнародному рівні нині активно обговорюється питання так званої інтегрованої звітності, яка б враховувала як фінансовий, так і не фінансовий бік діяльності компанії. Такі думки існують і серед вітчизняних економістів. На нашу </w:t>
      </w:r>
      <w:r>
        <w:t>думку, ці види звітності мають існувати окремо, кожен з них має своїх користувачів. Користувачів нефінансового звіту цікавить насамперед соціальний і еколо</w:t>
      </w:r>
      <w:r>
        <w:softHyphen/>
        <w:t>гічний ефектдіяльності, тому відповідні витрати підприємства залишаються поза їхньою увагою. Якщо ко</w:t>
      </w:r>
      <w:r>
        <w:t>ристувачів цікавить інформація про економічний ефект таких заходів, то хоча вона і є конфіденційною, але в загальному вигляді представлена у фінансовій звітності компанії. Виявити особливості нефінансових та фінансових звітів можна, проаналізувавши низку к</w:t>
      </w:r>
      <w:r>
        <w:t>ритеріїв, які їх характеризують (табл.1).</w:t>
      </w:r>
    </w:p>
    <w:p w:rsidR="00FA1010" w:rsidRDefault="001D4B71">
      <w:pPr>
        <w:pStyle w:val="a7"/>
        <w:framePr w:w="9082" w:h="6807" w:hRule="exact" w:wrap="around" w:vAnchor="page" w:hAnchor="page" w:x="1421" w:y="8359"/>
        <w:shd w:val="clear" w:color="auto" w:fill="auto"/>
        <w:spacing w:before="0"/>
        <w:ind w:left="20" w:right="20" w:firstLine="280"/>
      </w:pPr>
      <w:r>
        <w:t>Порівняльний аналіз звітності підприємств дав змогу виявити такі суттєві чинники: нефінансова звітність не дублює, а лише доповнює фінансову за низкою показників; нефінансові та фінансові звіти розраховані на тотож</w:t>
      </w:r>
      <w:r>
        <w:t>ні групи користувачів інформації; для користувачів, які не мають доступу або відповідної підготовки для розуміння показників фінансової звітності, задовольнити інформаційні потреби здатна нефінансова звітність; при правильному поєднанні фінансовий і нефіна</w:t>
      </w:r>
      <w:r>
        <w:t>нсовий звіти можуть забезпечити користувачів достатньою кількістю інформації про соціально-економічну діяль- ність підприємства; за такими критеріями, як влив на оцінку вартості бізнесу, статусом регулюючих документів, необхідністю подання, ступенем регулю</w:t>
      </w:r>
      <w:r>
        <w:t>вання з боку держави та міжнародних організацій та іншими нефінансовий звіт компанії має другорядний статус.</w:t>
      </w:r>
    </w:p>
    <w:p w:rsidR="00FA1010" w:rsidRDefault="001D4B71">
      <w:pPr>
        <w:pStyle w:val="a7"/>
        <w:framePr w:w="9082" w:h="6807" w:hRule="exact" w:wrap="around" w:vAnchor="page" w:hAnchor="page" w:x="1421" w:y="8359"/>
        <w:shd w:val="clear" w:color="auto" w:fill="auto"/>
        <w:spacing w:before="0"/>
        <w:ind w:left="20" w:right="20" w:firstLine="280"/>
      </w:pPr>
      <w:r>
        <w:t xml:space="preserve">На даний час розвиток нефінансової звітності суттєво відстає від поширення та стану розвитку фінансової звітності в Україні. Для активного </w:t>
      </w:r>
      <w:r>
        <w:t xml:space="preserve">поширення практики складання нефінансових звітів важливим етапом стане поліпшення професійної підготовки бухгалтерів, аудиторів та менеджерів. З цією метою у 2010 р. Міністерством освіти та науки, молоді та спорту до програми підготовки студентів у галузі </w:t>
      </w:r>
      <w:r>
        <w:t>знань «економіка та підприємництво» і «менеджмент та адміністрування» освітньо-квалі</w:t>
      </w:r>
      <w:r>
        <w:softHyphen/>
        <w:t>фікаційного рівня «бакалавр» введена дисципліна «Корпоративна соціальна відповідальність». На наш погляд, потребують подальшого удосконалення програми дисциплін «Бухгалтер</w:t>
      </w:r>
      <w:r>
        <w:t>ський облік», «Управлінський облік», «Звітність підприємства», «Аудит» та інші. Відповідні заходи такождадуть змогу підвищити якість нефінансових звітів і рівень їх підготовки та довіри до них.</w:t>
      </w:r>
    </w:p>
    <w:p w:rsidR="00FA1010" w:rsidRDefault="001D4B71">
      <w:pPr>
        <w:pStyle w:val="a5"/>
        <w:framePr w:wrap="around" w:vAnchor="page" w:hAnchor="page" w:x="1383" w:y="15590"/>
        <w:shd w:val="clear" w:color="auto" w:fill="auto"/>
        <w:spacing w:before="0" w:line="170" w:lineRule="exact"/>
        <w:ind w:left="20"/>
      </w:pPr>
      <w:r>
        <w:t>204</w:t>
      </w:r>
    </w:p>
    <w:p w:rsidR="00FA1010" w:rsidRDefault="001D4B71">
      <w:pPr>
        <w:pStyle w:val="32"/>
        <w:framePr w:wrap="around" w:vAnchor="page" w:hAnchor="page" w:x="8314" w:y="15596"/>
        <w:shd w:val="clear" w:color="auto" w:fill="auto"/>
        <w:spacing w:line="130" w:lineRule="exact"/>
        <w:ind w:left="20"/>
      </w:pPr>
      <w:r>
        <w:t>Наука молода № 19, 2013 р.</w:t>
      </w:r>
    </w:p>
    <w:p w:rsidR="00FA1010" w:rsidRDefault="00FA1010">
      <w:pPr>
        <w:rPr>
          <w:sz w:val="2"/>
          <w:szCs w:val="2"/>
        </w:rPr>
        <w:sectPr w:rsidR="00FA10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A1010" w:rsidRDefault="001D4B71">
      <w:pPr>
        <w:pStyle w:val="a5"/>
        <w:framePr w:wrap="around" w:vAnchor="page" w:hAnchor="page" w:x="6339" w:y="1294"/>
        <w:shd w:val="clear" w:color="auto" w:fill="auto"/>
        <w:spacing w:before="0" w:line="170" w:lineRule="exact"/>
        <w:ind w:left="20"/>
      </w:pPr>
      <w:r>
        <w:lastRenderedPageBreak/>
        <w:t>Сучасні п</w:t>
      </w:r>
      <w:r>
        <w:t>роблеми обліку, аналізу та аудиту</w:t>
      </w:r>
    </w:p>
    <w:p w:rsidR="00FA1010" w:rsidRDefault="001D4B71">
      <w:pPr>
        <w:pStyle w:val="a9"/>
        <w:framePr w:wrap="around" w:vAnchor="page" w:hAnchor="page" w:x="9756" w:y="1783"/>
        <w:shd w:val="clear" w:color="auto" w:fill="auto"/>
        <w:spacing w:line="170" w:lineRule="exact"/>
      </w:pPr>
      <w:r>
        <w:t>Таблиця 1</w:t>
      </w:r>
    </w:p>
    <w:p w:rsidR="00FA1010" w:rsidRDefault="001D4B71">
      <w:pPr>
        <w:pStyle w:val="70"/>
        <w:framePr w:wrap="around" w:vAnchor="page" w:hAnchor="page" w:x="2753" w:y="2140"/>
        <w:shd w:val="clear" w:color="auto" w:fill="auto"/>
        <w:spacing w:line="190" w:lineRule="exact"/>
        <w:ind w:left="100"/>
      </w:pPr>
      <w:r>
        <w:t>Порівняльна характеристика нефінансової та фінансової звітності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70"/>
        <w:gridCol w:w="3648"/>
        <w:gridCol w:w="3259"/>
      </w:tblGrid>
      <w:tr w:rsidR="00FA1010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202" w:lineRule="exact"/>
              <w:ind w:left="600"/>
              <w:jc w:val="left"/>
            </w:pPr>
            <w:r>
              <w:rPr>
                <w:rStyle w:val="75pt0pt"/>
              </w:rPr>
              <w:t>Критерії для порівняння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Нефінансова звітність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Фінансова звітність</w:t>
            </w:r>
          </w:p>
        </w:tc>
      </w:tr>
      <w:tr w:rsidR="00FA101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40" w:lineRule="exact"/>
              <w:ind w:left="260"/>
              <w:jc w:val="left"/>
            </w:pPr>
            <w:r>
              <w:rPr>
                <w:rStyle w:val="7pt0pt"/>
              </w:rPr>
              <w:t>Користувачі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7pt0pt"/>
              </w:rPr>
              <w:t>Внутрішні та зовнішні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0pt"/>
              </w:rPr>
              <w:t>Внутрішні та зовнішні</w:t>
            </w:r>
          </w:p>
        </w:tc>
      </w:tr>
      <w:tr w:rsidR="00FA101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40" w:lineRule="exact"/>
              <w:ind w:left="260"/>
              <w:jc w:val="left"/>
            </w:pPr>
            <w:r>
              <w:rPr>
                <w:rStyle w:val="7pt0pt"/>
              </w:rPr>
              <w:t>Мета складання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97" w:lineRule="exact"/>
              <w:ind w:left="120"/>
              <w:jc w:val="left"/>
            </w:pPr>
            <w:r>
              <w:rPr>
                <w:rStyle w:val="7pt0pt"/>
              </w:rPr>
              <w:t xml:space="preserve">Надання </w:t>
            </w:r>
            <w:r>
              <w:rPr>
                <w:rStyle w:val="7pt0pt"/>
              </w:rPr>
              <w:t>інформації про результати діяльності та проведені заходи у соціальній та екологічній сферах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97" w:lineRule="exact"/>
              <w:ind w:left="100"/>
              <w:jc w:val="left"/>
            </w:pPr>
            <w:r>
              <w:rPr>
                <w:rStyle w:val="7pt0pt"/>
              </w:rPr>
              <w:t>Надання інформації про фінансовий стан, фінансові результати та рух грошових коштів</w:t>
            </w:r>
          </w:p>
        </w:tc>
      </w:tr>
      <w:tr w:rsidR="00FA101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after="60" w:line="140" w:lineRule="exact"/>
              <w:ind w:left="260"/>
              <w:jc w:val="left"/>
            </w:pPr>
            <w:r>
              <w:rPr>
                <w:rStyle w:val="7pt0pt"/>
              </w:rPr>
              <w:t>Предметна</w:t>
            </w:r>
          </w:p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60" w:line="140" w:lineRule="exact"/>
              <w:ind w:left="260"/>
              <w:jc w:val="left"/>
            </w:pPr>
            <w:r>
              <w:rPr>
                <w:rStyle w:val="7pt0pt"/>
              </w:rPr>
              <w:t>складова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202" w:lineRule="exact"/>
              <w:ind w:left="120"/>
              <w:jc w:val="left"/>
            </w:pPr>
            <w:r>
              <w:rPr>
                <w:rStyle w:val="7pt0pt"/>
              </w:rPr>
              <w:t>Соціальні, екологічні та економічні наслідки діяльності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0pt"/>
              </w:rPr>
              <w:t>Економічні результати</w:t>
            </w:r>
          </w:p>
        </w:tc>
      </w:tr>
      <w:tr w:rsidR="00FA1010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40" w:lineRule="exact"/>
              <w:ind w:left="260"/>
              <w:jc w:val="left"/>
            </w:pPr>
            <w:r>
              <w:rPr>
                <w:rStyle w:val="7pt0pt"/>
              </w:rPr>
              <w:t>Часова</w:t>
            </w:r>
          </w:p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40" w:lineRule="exact"/>
              <w:ind w:left="260"/>
              <w:jc w:val="left"/>
            </w:pPr>
            <w:r>
              <w:rPr>
                <w:rStyle w:val="7pt0pt"/>
              </w:rPr>
              <w:t>спрямованість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202" w:lineRule="exact"/>
              <w:ind w:left="120"/>
              <w:jc w:val="left"/>
            </w:pPr>
            <w:r>
              <w:rPr>
                <w:rStyle w:val="7pt0pt"/>
              </w:rPr>
              <w:t>Досягнуті результати та плани на майбутнє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0pt"/>
              </w:rPr>
              <w:t>Досягнуті результати</w:t>
            </w:r>
          </w:p>
        </w:tc>
      </w:tr>
      <w:tr w:rsidR="00FA101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40" w:lineRule="exact"/>
              <w:ind w:left="260"/>
              <w:jc w:val="left"/>
            </w:pPr>
            <w:r>
              <w:rPr>
                <w:rStyle w:val="7pt0pt"/>
              </w:rPr>
              <w:t>Доступ до інформації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7pt0pt"/>
              </w:rPr>
              <w:t>Відкритий доступ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0pt"/>
              </w:rPr>
              <w:t>Обмежений доступ</w:t>
            </w:r>
          </w:p>
        </w:tc>
      </w:tr>
      <w:tr w:rsidR="00FA101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40" w:lineRule="exact"/>
              <w:ind w:left="260"/>
              <w:jc w:val="left"/>
            </w:pPr>
            <w:r>
              <w:rPr>
                <w:rStyle w:val="7pt0pt"/>
              </w:rPr>
              <w:t>Необхідність подання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7pt0pt"/>
              </w:rPr>
              <w:t>Добровільна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0pt"/>
              </w:rPr>
              <w:t>Обов’язкова</w:t>
            </w:r>
          </w:p>
        </w:tc>
      </w:tr>
      <w:tr w:rsidR="00FA1010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40" w:lineRule="exact"/>
              <w:ind w:left="260"/>
              <w:jc w:val="left"/>
            </w:pPr>
            <w:r>
              <w:rPr>
                <w:rStyle w:val="7pt0pt"/>
              </w:rPr>
              <w:t>Рівень</w:t>
            </w:r>
          </w:p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40" w:lineRule="exact"/>
              <w:ind w:left="260"/>
              <w:jc w:val="left"/>
            </w:pPr>
            <w:r>
              <w:rPr>
                <w:rStyle w:val="7pt0pt"/>
              </w:rPr>
              <w:t>відповідальності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97" w:lineRule="exact"/>
              <w:ind w:left="120"/>
              <w:jc w:val="left"/>
            </w:pPr>
            <w:r>
              <w:rPr>
                <w:rStyle w:val="7pt0pt"/>
              </w:rPr>
              <w:t xml:space="preserve">Не визначена </w:t>
            </w:r>
            <w:r>
              <w:rPr>
                <w:rStyle w:val="7pt0pt"/>
              </w:rPr>
              <w:t>законодавством України, суттєво впливає на подальші взаємовідносини зі стейкхолдерами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97" w:lineRule="exact"/>
              <w:ind w:left="100"/>
              <w:jc w:val="left"/>
            </w:pPr>
            <w:r>
              <w:rPr>
                <w:rStyle w:val="7pt0pt"/>
              </w:rPr>
              <w:t>Визначена відповідно до законодавства та внутрішнього регламенту підприємства - матеріальна, адміністративна, кримінальна</w:t>
            </w:r>
          </w:p>
        </w:tc>
      </w:tr>
      <w:tr w:rsidR="00FA10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40" w:lineRule="exact"/>
              <w:ind w:left="260"/>
              <w:jc w:val="left"/>
            </w:pPr>
            <w:r>
              <w:rPr>
                <w:rStyle w:val="7pt0pt"/>
              </w:rPr>
              <w:t>Вимірники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7pt0pt"/>
              </w:rPr>
              <w:t>Вартісні, кількісні та якісні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0pt"/>
              </w:rPr>
              <w:t>Вартісні</w:t>
            </w:r>
          </w:p>
        </w:tc>
      </w:tr>
      <w:tr w:rsidR="00FA101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after="60" w:line="140" w:lineRule="exact"/>
              <w:ind w:left="260"/>
              <w:jc w:val="left"/>
            </w:pPr>
            <w:r>
              <w:rPr>
                <w:rStyle w:val="7pt0pt"/>
              </w:rPr>
              <w:t>Ступінь</w:t>
            </w:r>
          </w:p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60" w:line="140" w:lineRule="exact"/>
              <w:ind w:left="260"/>
              <w:jc w:val="left"/>
            </w:pPr>
            <w:r>
              <w:rPr>
                <w:rStyle w:val="7pt0pt"/>
              </w:rPr>
              <w:t>регулювання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7pt0pt"/>
              </w:rPr>
              <w:t>Міжнародні положення та норми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0pt"/>
              </w:rPr>
              <w:t>НП(С)БО, МОВО</w:t>
            </w:r>
          </w:p>
        </w:tc>
      </w:tr>
      <w:tr w:rsidR="00FA10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40" w:lineRule="exact"/>
              <w:ind w:left="260"/>
              <w:jc w:val="left"/>
            </w:pPr>
            <w:r>
              <w:rPr>
                <w:rStyle w:val="7pt0pt"/>
              </w:rPr>
              <w:t>Типи показників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7pt0pt"/>
              </w:rPr>
              <w:t>Соціальні, економічні, екологічні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0pt"/>
              </w:rPr>
              <w:t>Економічні (фінансові)</w:t>
            </w:r>
          </w:p>
        </w:tc>
      </w:tr>
      <w:tr w:rsidR="00FA1010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97" w:lineRule="exact"/>
              <w:ind w:left="260"/>
              <w:jc w:val="left"/>
            </w:pPr>
            <w:r>
              <w:rPr>
                <w:rStyle w:val="7pt0pt"/>
              </w:rPr>
              <w:t>Інформаційна база звітності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97" w:lineRule="exact"/>
              <w:ind w:left="120"/>
              <w:jc w:val="left"/>
            </w:pPr>
            <w:r>
              <w:rPr>
                <w:rStyle w:val="7pt0pt"/>
              </w:rPr>
              <w:t xml:space="preserve">Дані управлінського та фінансового обліку, інша відкрита інформація про сферу </w:t>
            </w:r>
            <w:r>
              <w:rPr>
                <w:rStyle w:val="7pt0pt"/>
              </w:rPr>
              <w:t>діяльності фірми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0pt"/>
              </w:rPr>
              <w:t>Дані фінансового обліку</w:t>
            </w:r>
          </w:p>
        </w:tc>
      </w:tr>
      <w:tr w:rsidR="00FA1010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40" w:lineRule="exact"/>
              <w:ind w:left="260"/>
              <w:jc w:val="left"/>
            </w:pPr>
            <w:r>
              <w:rPr>
                <w:rStyle w:val="7pt0pt"/>
              </w:rPr>
              <w:t>Зміст звіту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97" w:lineRule="exact"/>
              <w:ind w:left="120"/>
              <w:jc w:val="left"/>
            </w:pPr>
            <w:r>
              <w:rPr>
                <w:rStyle w:val="7pt0pt"/>
              </w:rPr>
              <w:t xml:space="preserve">Оплата праці, гарантія зайнятості та охорона здоров'я працівників, характеристика послуг та продукції для клієнтів, фінансові показники, вплив діяльності на зовнішнє середовище, кількість створених </w:t>
            </w:r>
            <w:r>
              <w:rPr>
                <w:rStyle w:val="7pt0pt"/>
              </w:rPr>
              <w:t>робочих місць, інвестиції у розвиток регіону та ін.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97" w:lineRule="exact"/>
              <w:ind w:left="100"/>
              <w:jc w:val="left"/>
            </w:pPr>
            <w:r>
              <w:rPr>
                <w:rStyle w:val="7pt0pt"/>
              </w:rPr>
              <w:t>Характеристика: власного та залученого капіталу; господарських ресурсів; доходів, витрат і фінансового результату за видами діяльності підприємства; руху грошових коштів; змін у власному капіталі</w:t>
            </w:r>
          </w:p>
        </w:tc>
      </w:tr>
      <w:tr w:rsidR="00FA101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202" w:lineRule="exact"/>
              <w:ind w:left="260"/>
              <w:jc w:val="left"/>
            </w:pPr>
            <w:r>
              <w:rPr>
                <w:rStyle w:val="7pt0pt"/>
              </w:rPr>
              <w:t>Точність числових даних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7pt0pt"/>
              </w:rPr>
              <w:t>Можливі приблизні дані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202" w:lineRule="exact"/>
              <w:ind w:left="100"/>
              <w:jc w:val="left"/>
            </w:pPr>
            <w:r>
              <w:rPr>
                <w:rStyle w:val="7pt0pt"/>
              </w:rPr>
              <w:t>Відхилення від фактичних даних не допустимі</w:t>
            </w:r>
          </w:p>
        </w:tc>
      </w:tr>
      <w:tr w:rsidR="00FA1010">
        <w:tblPrEx>
          <w:tblCellMar>
            <w:top w:w="0" w:type="dxa"/>
            <w:bottom w:w="0" w:type="dxa"/>
          </w:tblCellMar>
        </w:tblPrEx>
        <w:trPr>
          <w:trHeight w:hRule="exact" w:val="1459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40" w:lineRule="exact"/>
              <w:ind w:left="260"/>
              <w:jc w:val="left"/>
            </w:pPr>
            <w:r>
              <w:rPr>
                <w:rStyle w:val="7pt0pt"/>
              </w:rPr>
              <w:t>Форми звітності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97" w:lineRule="exact"/>
              <w:ind w:left="120"/>
              <w:jc w:val="left"/>
            </w:pPr>
            <w:r>
              <w:rPr>
                <w:rStyle w:val="7pt0pt"/>
              </w:rPr>
              <w:t>Різні форми звітів:</w:t>
            </w:r>
          </w:p>
          <w:p w:rsidR="00FA1010" w:rsidRDefault="001D4B71">
            <w:pPr>
              <w:pStyle w:val="a7"/>
              <w:framePr w:w="9077" w:h="9792" w:wrap="around" w:vAnchor="page" w:hAnchor="page" w:x="1587" w:y="2547"/>
              <w:numPr>
                <w:ilvl w:val="0"/>
                <w:numId w:val="1"/>
              </w:numPr>
              <w:shd w:val="clear" w:color="auto" w:fill="auto"/>
              <w:tabs>
                <w:tab w:val="left" w:pos="106"/>
              </w:tabs>
              <w:spacing w:before="0" w:line="197" w:lineRule="exact"/>
            </w:pPr>
            <w:r>
              <w:rPr>
                <w:rStyle w:val="7pt0pt"/>
              </w:rPr>
              <w:t>Звіт з прогресу;</w:t>
            </w:r>
          </w:p>
          <w:p w:rsidR="00FA1010" w:rsidRDefault="001D4B71">
            <w:pPr>
              <w:pStyle w:val="a7"/>
              <w:framePr w:w="9077" w:h="9792" w:wrap="around" w:vAnchor="page" w:hAnchor="page" w:x="1587" w:y="2547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spacing w:before="0" w:line="197" w:lineRule="exact"/>
              <w:ind w:left="120"/>
              <w:jc w:val="left"/>
            </w:pPr>
            <w:r>
              <w:rPr>
                <w:rStyle w:val="7pt0pt"/>
              </w:rPr>
              <w:t>Звіт про КСВ - звіт про соціальні або екологічні проекти компанії;</w:t>
            </w:r>
          </w:p>
          <w:p w:rsidR="00FA1010" w:rsidRDefault="001D4B71">
            <w:pPr>
              <w:pStyle w:val="a7"/>
              <w:framePr w:w="9077" w:h="9792" w:wrap="around" w:vAnchor="page" w:hAnchor="page" w:x="1587" w:y="2547"/>
              <w:numPr>
                <w:ilvl w:val="0"/>
                <w:numId w:val="1"/>
              </w:numPr>
              <w:shd w:val="clear" w:color="auto" w:fill="auto"/>
              <w:tabs>
                <w:tab w:val="left" w:pos="106"/>
              </w:tabs>
              <w:spacing w:before="0" w:line="197" w:lineRule="exact"/>
            </w:pPr>
            <w:r>
              <w:rPr>
                <w:rStyle w:val="7pt0pt"/>
              </w:rPr>
              <w:t>звіт за стандартом АА1000;</w:t>
            </w:r>
          </w:p>
          <w:p w:rsidR="00FA1010" w:rsidRDefault="001D4B71">
            <w:pPr>
              <w:pStyle w:val="a7"/>
              <w:framePr w:w="9077" w:h="9792" w:wrap="around" w:vAnchor="page" w:hAnchor="page" w:x="1587" w:y="2547"/>
              <w:numPr>
                <w:ilvl w:val="0"/>
                <w:numId w:val="1"/>
              </w:numPr>
              <w:shd w:val="clear" w:color="auto" w:fill="auto"/>
              <w:tabs>
                <w:tab w:val="left" w:pos="106"/>
              </w:tabs>
              <w:spacing w:before="0" w:line="197" w:lineRule="exact"/>
            </w:pPr>
            <w:r>
              <w:rPr>
                <w:rStyle w:val="7pt0pt"/>
              </w:rPr>
              <w:t xml:space="preserve">звіт за </w:t>
            </w:r>
            <w:r>
              <w:rPr>
                <w:rStyle w:val="7pt0pt"/>
                <w:lang w:val="en-US" w:eastAsia="en-US" w:bidi="en-US"/>
              </w:rPr>
              <w:t xml:space="preserve">GRI </w:t>
            </w:r>
            <w:r>
              <w:rPr>
                <w:rStyle w:val="7pt0pt"/>
              </w:rPr>
              <w:t>стандартом та інші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97" w:lineRule="exact"/>
              <w:ind w:left="100"/>
              <w:jc w:val="left"/>
            </w:pPr>
            <w:r>
              <w:rPr>
                <w:rStyle w:val="7pt0pt"/>
              </w:rPr>
              <w:t>Комплексна звітність:</w:t>
            </w:r>
          </w:p>
          <w:p w:rsidR="00FA1010" w:rsidRDefault="001D4B71">
            <w:pPr>
              <w:pStyle w:val="a7"/>
              <w:framePr w:w="9077" w:h="9792" w:wrap="around" w:vAnchor="page" w:hAnchor="page" w:x="1587" w:y="2547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spacing w:before="0" w:line="197" w:lineRule="exact"/>
            </w:pPr>
            <w:r>
              <w:rPr>
                <w:rStyle w:val="7pt0pt"/>
              </w:rPr>
              <w:t>Звіт про фінансовий стан;</w:t>
            </w:r>
          </w:p>
          <w:p w:rsidR="00FA1010" w:rsidRDefault="001D4B71">
            <w:pPr>
              <w:pStyle w:val="a7"/>
              <w:framePr w:w="9077" w:h="9792" w:wrap="around" w:vAnchor="page" w:hAnchor="page" w:x="1587" w:y="2547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spacing w:before="0" w:line="197" w:lineRule="exact"/>
            </w:pPr>
            <w:r>
              <w:rPr>
                <w:rStyle w:val="7pt0pt"/>
              </w:rPr>
              <w:t>Звіт про сукупний дохід;</w:t>
            </w:r>
          </w:p>
          <w:p w:rsidR="00FA1010" w:rsidRDefault="001D4B71">
            <w:pPr>
              <w:pStyle w:val="a7"/>
              <w:framePr w:w="9077" w:h="9792" w:wrap="around" w:vAnchor="page" w:hAnchor="page" w:x="1587" w:y="2547"/>
              <w:numPr>
                <w:ilvl w:val="0"/>
                <w:numId w:val="2"/>
              </w:numPr>
              <w:shd w:val="clear" w:color="auto" w:fill="auto"/>
              <w:tabs>
                <w:tab w:val="left" w:pos="316"/>
              </w:tabs>
              <w:spacing w:before="0" w:line="197" w:lineRule="exact"/>
              <w:ind w:left="100"/>
              <w:jc w:val="left"/>
            </w:pPr>
            <w:r>
              <w:rPr>
                <w:rStyle w:val="7pt0pt"/>
              </w:rPr>
              <w:t>Звіт про рух грошових коштів (за прямим і непрямим методом);</w:t>
            </w:r>
          </w:p>
          <w:p w:rsidR="00FA1010" w:rsidRDefault="001D4B71">
            <w:pPr>
              <w:pStyle w:val="a7"/>
              <w:framePr w:w="9077" w:h="9792" w:wrap="around" w:vAnchor="page" w:hAnchor="page" w:x="1587" w:y="2547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spacing w:before="0" w:line="197" w:lineRule="exact"/>
            </w:pPr>
            <w:r>
              <w:rPr>
                <w:rStyle w:val="7pt0pt"/>
              </w:rPr>
              <w:t>Звіт про власний капітал;</w:t>
            </w:r>
          </w:p>
          <w:p w:rsidR="00FA1010" w:rsidRDefault="001D4B71">
            <w:pPr>
              <w:pStyle w:val="a7"/>
              <w:framePr w:w="9077" w:h="9792" w:wrap="around" w:vAnchor="page" w:hAnchor="page" w:x="1587" w:y="2547"/>
              <w:numPr>
                <w:ilvl w:val="0"/>
                <w:numId w:val="2"/>
              </w:numPr>
              <w:shd w:val="clear" w:color="auto" w:fill="auto"/>
              <w:tabs>
                <w:tab w:val="left" w:pos="206"/>
              </w:tabs>
              <w:spacing w:before="0" w:line="197" w:lineRule="exact"/>
            </w:pPr>
            <w:r>
              <w:rPr>
                <w:rStyle w:val="7pt0pt"/>
              </w:rPr>
              <w:t>Примітки до звітності</w:t>
            </w:r>
          </w:p>
        </w:tc>
      </w:tr>
      <w:tr w:rsidR="00FA1010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after="60" w:line="140" w:lineRule="exact"/>
              <w:ind w:left="260"/>
              <w:jc w:val="left"/>
            </w:pPr>
            <w:r>
              <w:rPr>
                <w:rStyle w:val="7pt0pt"/>
              </w:rPr>
              <w:t>Періодичність</w:t>
            </w:r>
          </w:p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60" w:line="140" w:lineRule="exact"/>
              <w:ind w:left="260"/>
              <w:jc w:val="left"/>
            </w:pPr>
            <w:r>
              <w:rPr>
                <w:rStyle w:val="7pt0pt"/>
              </w:rPr>
              <w:t>подання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40" w:lineRule="exact"/>
            </w:pPr>
            <w:r>
              <w:rPr>
                <w:rStyle w:val="7pt0pt"/>
              </w:rPr>
              <w:t>Раз на 1-2 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40" w:lineRule="exact"/>
            </w:pPr>
            <w:r>
              <w:rPr>
                <w:rStyle w:val="7pt0pt"/>
              </w:rPr>
              <w:t xml:space="preserve">Щоквартально, </w:t>
            </w:r>
            <w:r>
              <w:rPr>
                <w:rStyle w:val="7pt0pt"/>
              </w:rPr>
              <w:t>річні</w:t>
            </w:r>
          </w:p>
        </w:tc>
      </w:tr>
      <w:tr w:rsidR="00FA1010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97" w:lineRule="exact"/>
              <w:ind w:left="260"/>
              <w:jc w:val="left"/>
            </w:pPr>
            <w:r>
              <w:rPr>
                <w:rStyle w:val="7pt0pt"/>
              </w:rPr>
              <w:t>Вплив на оцінку вартості бізнесу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Нематеріальна складова вартості бізнесу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10" w:rsidRDefault="001D4B71">
            <w:pPr>
              <w:pStyle w:val="a7"/>
              <w:framePr w:w="9077" w:h="9792" w:wrap="around" w:vAnchor="page" w:hAnchor="page" w:x="1587" w:y="2547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Фінансова складова вартості бізнесу</w:t>
            </w:r>
          </w:p>
        </w:tc>
      </w:tr>
    </w:tbl>
    <w:p w:rsidR="00FA1010" w:rsidRDefault="001D4B71">
      <w:pPr>
        <w:pStyle w:val="a7"/>
        <w:framePr w:w="9086" w:h="2554" w:hRule="exact" w:wrap="around" w:vAnchor="page" w:hAnchor="page" w:x="1582" w:y="12595"/>
        <w:shd w:val="clear" w:color="auto" w:fill="auto"/>
        <w:spacing w:before="0"/>
        <w:ind w:left="20" w:right="20" w:firstLine="280"/>
      </w:pPr>
      <w:r>
        <w:t>Як підсумок можна зробити певні висновки. При формуванні єдиної інформаційної бази управління соціально-економічною діяльністю підприємства</w:t>
      </w:r>
      <w:r>
        <w:t xml:space="preserve"> необхідно враховувати особливості та спільні риси нефінансової та фінансової звітності. За низкою критеріїв (влив на оцінку вартості бізнесу, статус регулюючих документів, необхідність подання, ступінь регулювання з боку держави та міжнародних організацій</w:t>
      </w:r>
      <w:r>
        <w:t xml:space="preserve"> та ін.) нефінансовий звіт має другорядний статус, він потребує більшої прозорості для підвищення довіри до нього. Основною інформаційною базою для нефінансового звіту є дані бухгалтерського та управлінського обліку. Потребують подальшого дослідження досві</w:t>
      </w:r>
      <w:r>
        <w:t>д зарубіжних країн з питань державного регулювання нефінансової звітності з метою обґрунтування стратегії нефінансової звітності в Україні. Ті, хто починає готувати нефінансову звітність вже сьогодні, завтра зможуть отримати додаткову конкурентну переваг я</w:t>
      </w:r>
      <w:r>
        <w:t>к на вітчизняному, так і на міжнародному ринках.</w:t>
      </w:r>
    </w:p>
    <w:p w:rsidR="00FA1010" w:rsidRDefault="001D4B71">
      <w:pPr>
        <w:pStyle w:val="32"/>
        <w:framePr w:wrap="around" w:vAnchor="page" w:hAnchor="page" w:x="1577" w:y="15574"/>
        <w:shd w:val="clear" w:color="auto" w:fill="auto"/>
        <w:spacing w:line="130" w:lineRule="exact"/>
        <w:ind w:left="20"/>
      </w:pPr>
      <w:r>
        <w:t>Наука молода № 19, 2013 р.</w:t>
      </w:r>
    </w:p>
    <w:p w:rsidR="00FA1010" w:rsidRDefault="001D4B71">
      <w:pPr>
        <w:pStyle w:val="a5"/>
        <w:framePr w:wrap="around" w:vAnchor="page" w:hAnchor="page" w:x="10352" w:y="15597"/>
        <w:shd w:val="clear" w:color="auto" w:fill="auto"/>
        <w:spacing w:before="0" w:line="170" w:lineRule="exact"/>
        <w:ind w:left="20"/>
      </w:pPr>
      <w:r>
        <w:t>205</w:t>
      </w:r>
    </w:p>
    <w:p w:rsidR="00FA1010" w:rsidRDefault="00FA1010">
      <w:pPr>
        <w:rPr>
          <w:sz w:val="2"/>
          <w:szCs w:val="2"/>
        </w:rPr>
        <w:sectPr w:rsidR="00FA10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A1010" w:rsidRDefault="001D4B71">
      <w:pPr>
        <w:pStyle w:val="20"/>
        <w:framePr w:w="3682" w:h="461" w:hRule="exact" w:wrap="around" w:vAnchor="page" w:hAnchor="page" w:x="1405" w:y="1049"/>
        <w:shd w:val="clear" w:color="auto" w:fill="auto"/>
        <w:spacing w:after="36" w:line="160" w:lineRule="exact"/>
        <w:ind w:left="40"/>
      </w:pPr>
      <w:r>
        <w:lastRenderedPageBreak/>
        <w:t>О. Коваль, Н. Микитюк</w:t>
      </w:r>
    </w:p>
    <w:p w:rsidR="00FA1010" w:rsidRDefault="001D4B71">
      <w:pPr>
        <w:pStyle w:val="a5"/>
        <w:framePr w:w="3682" w:h="461" w:hRule="exact" w:wrap="around" w:vAnchor="page" w:hAnchor="page" w:x="1405" w:y="1049"/>
        <w:shd w:val="clear" w:color="auto" w:fill="auto"/>
        <w:spacing w:before="0" w:line="170" w:lineRule="exact"/>
        <w:ind w:left="40"/>
      </w:pPr>
      <w:r>
        <w:t>Нефінансова звітність як складова .</w:t>
      </w:r>
    </w:p>
    <w:p w:rsidR="00FA1010" w:rsidRDefault="001D4B71">
      <w:pPr>
        <w:pStyle w:val="22"/>
        <w:framePr w:w="8789" w:h="6876" w:hRule="exact" w:wrap="around" w:vAnchor="page" w:hAnchor="page" w:x="1741" w:y="2244"/>
        <w:shd w:val="clear" w:color="auto" w:fill="auto"/>
        <w:spacing w:after="90" w:line="170" w:lineRule="exact"/>
        <w:ind w:left="3580"/>
        <w:jc w:val="left"/>
      </w:pPr>
      <w:r>
        <w:t>Література</w:t>
      </w:r>
    </w:p>
    <w:p w:rsidR="00FA1010" w:rsidRDefault="001D4B71">
      <w:pPr>
        <w:pStyle w:val="30"/>
        <w:framePr w:w="8789" w:h="6876" w:hRule="exact" w:wrap="around" w:vAnchor="page" w:hAnchor="page" w:x="1741" w:y="2244"/>
        <w:numPr>
          <w:ilvl w:val="0"/>
          <w:numId w:val="3"/>
        </w:numPr>
        <w:shd w:val="clear" w:color="auto" w:fill="auto"/>
        <w:spacing w:before="0" w:after="0"/>
        <w:ind w:left="400" w:right="40"/>
      </w:pPr>
      <w:r>
        <w:t xml:space="preserve"> Алигаджиева Е. М. Зколого-социальньїй учет и анализ корпоративной отчетности в условиях МСФО: автореф. дис. на соискание науч. степени канд. жон. наук: спец. 08.00.12</w:t>
      </w:r>
      <w:r>
        <w:rPr>
          <w:rStyle w:val="30pt"/>
        </w:rPr>
        <w:t xml:space="preserve">/ </w:t>
      </w:r>
      <w:r>
        <w:t xml:space="preserve">Е. М. Алигаджиева; Федеральнеє государственное образовательное учреждение вьіс- шего </w:t>
      </w:r>
      <w:r>
        <w:t>професіонального образования «Российский университет дружби народов». - Орел, 2010. - 24 с.</w:t>
      </w:r>
    </w:p>
    <w:p w:rsidR="00FA1010" w:rsidRDefault="001D4B71">
      <w:pPr>
        <w:pStyle w:val="30"/>
        <w:framePr w:w="8789" w:h="6876" w:hRule="exact" w:wrap="around" w:vAnchor="page" w:hAnchor="page" w:x="1741" w:y="2244"/>
        <w:numPr>
          <w:ilvl w:val="0"/>
          <w:numId w:val="3"/>
        </w:numPr>
        <w:shd w:val="clear" w:color="auto" w:fill="auto"/>
        <w:spacing w:before="0" w:after="0"/>
        <w:ind w:left="400" w:right="40"/>
      </w:pPr>
      <w:r>
        <w:t xml:space="preserve"> Воробей В. Нефінансова звітність: інструмент соціально відповідального бізнесу [Електронний ресурс]/В. Воробей, І. Журовська. - К., 2010. - 84 с. - Режим доступу: </w:t>
      </w:r>
      <w:r>
        <w:rPr>
          <w:lang w:val="en-US" w:eastAsia="en-US" w:bidi="en-US"/>
        </w:rPr>
        <w:t xml:space="preserve">http:// </w:t>
      </w:r>
      <w:hyperlink r:id="rId9" w:history="1">
        <w:r>
          <w:rPr>
            <w:rStyle w:val="a3"/>
            <w:lang w:val="en-US" w:eastAsia="en-US" w:bidi="en-US"/>
          </w:rPr>
          <w:t>www. svb. org. ua/publications.</w:t>
        </w:r>
      </w:hyperlink>
    </w:p>
    <w:p w:rsidR="00FA1010" w:rsidRDefault="001D4B71">
      <w:pPr>
        <w:pStyle w:val="30"/>
        <w:framePr w:w="8789" w:h="6876" w:hRule="exact" w:wrap="around" w:vAnchor="page" w:hAnchor="page" w:x="1741" w:y="2244"/>
        <w:numPr>
          <w:ilvl w:val="0"/>
          <w:numId w:val="3"/>
        </w:numPr>
        <w:shd w:val="clear" w:color="auto" w:fill="auto"/>
        <w:spacing w:before="0" w:after="0"/>
        <w:ind w:left="400" w:right="40"/>
      </w:pPr>
      <w:r>
        <w:rPr>
          <w:lang w:val="en-US" w:eastAsia="en-US" w:bidi="en-US"/>
        </w:rPr>
        <w:t xml:space="preserve"> </w:t>
      </w:r>
      <w:r>
        <w:t>Исаев Д. В. Информационньїй аспект корпоративного управлений и стратегического менеджменте</w:t>
      </w:r>
      <w:r>
        <w:rPr>
          <w:rStyle w:val="30pt"/>
        </w:rPr>
        <w:t xml:space="preserve"> / </w:t>
      </w:r>
      <w:r>
        <w:t xml:space="preserve">Д. В. Исаев // Зкономический вестник Ростовского государственного </w:t>
      </w:r>
      <w:r>
        <w:t>университета. - 2008. - Т. 6. - № 3. - С. 114-119.</w:t>
      </w:r>
    </w:p>
    <w:p w:rsidR="00FA1010" w:rsidRDefault="001D4B71">
      <w:pPr>
        <w:pStyle w:val="30"/>
        <w:framePr w:w="8789" w:h="6876" w:hRule="exact" w:wrap="around" w:vAnchor="page" w:hAnchor="page" w:x="1741" w:y="2244"/>
        <w:numPr>
          <w:ilvl w:val="0"/>
          <w:numId w:val="3"/>
        </w:numPr>
        <w:shd w:val="clear" w:color="auto" w:fill="auto"/>
        <w:spacing w:before="0" w:after="0"/>
        <w:ind w:left="400" w:right="40"/>
      </w:pPr>
      <w:r>
        <w:t xml:space="preserve"> Коновалова Л. Н. Управление социальньїми программами компании</w:t>
      </w:r>
      <w:r>
        <w:rPr>
          <w:rStyle w:val="30pt"/>
        </w:rPr>
        <w:t xml:space="preserve"> / </w:t>
      </w:r>
      <w:r>
        <w:t>Л. Н. Коновалова, М. И. Корсаков, В. Н. Якимец; под ред. С. Е. Литовченко. - М.: Ассоц. менеджеров, 2003. - 152 с.</w:t>
      </w:r>
    </w:p>
    <w:p w:rsidR="00FA1010" w:rsidRDefault="001D4B71">
      <w:pPr>
        <w:pStyle w:val="30"/>
        <w:framePr w:w="8789" w:h="6876" w:hRule="exact" w:wrap="around" w:vAnchor="page" w:hAnchor="page" w:x="1741" w:y="2244"/>
        <w:numPr>
          <w:ilvl w:val="0"/>
          <w:numId w:val="3"/>
        </w:numPr>
        <w:shd w:val="clear" w:color="auto" w:fill="auto"/>
        <w:spacing w:before="0" w:after="0"/>
        <w:ind w:left="400" w:right="40"/>
      </w:pPr>
      <w:r>
        <w:t xml:space="preserve"> Лазоренко О. Посібник із</w:t>
      </w:r>
      <w:r>
        <w:t xml:space="preserve"> КСВ. Базова інформація</w:t>
      </w:r>
      <w:r>
        <w:rPr>
          <w:rStyle w:val="30pt"/>
        </w:rPr>
        <w:t xml:space="preserve"> з </w:t>
      </w:r>
      <w:r>
        <w:t>корпоративної соціальної відповідаль</w:t>
      </w:r>
      <w:r>
        <w:softHyphen/>
        <w:t>ності /О. Лазоренко, Р Колишко - К.: Вид-во «Енергія», 2008. - 96 с.</w:t>
      </w:r>
    </w:p>
    <w:p w:rsidR="00FA1010" w:rsidRDefault="001D4B71">
      <w:pPr>
        <w:pStyle w:val="30"/>
        <w:framePr w:w="8789" w:h="6876" w:hRule="exact" w:wrap="around" w:vAnchor="page" w:hAnchor="page" w:x="1741" w:y="2244"/>
        <w:numPr>
          <w:ilvl w:val="0"/>
          <w:numId w:val="3"/>
        </w:numPr>
        <w:shd w:val="clear" w:color="auto" w:fill="auto"/>
        <w:spacing w:before="0" w:after="0"/>
        <w:ind w:left="400" w:right="40"/>
      </w:pPr>
      <w:r>
        <w:t xml:space="preserve"> Хамідова О. М. Складання соціальної звітності як важливий етап реалізації' соціально- відповідального маркетингу підприємст</w:t>
      </w:r>
      <w:r>
        <w:t>ва галузі мінеральних добрив / О. М. Хамідова // Зкономика Крьіма. - 2010. - № 2 (31). - С. 222-226.</w:t>
      </w:r>
    </w:p>
    <w:p w:rsidR="00FA1010" w:rsidRDefault="001D4B71">
      <w:pPr>
        <w:pStyle w:val="30"/>
        <w:framePr w:w="8789" w:h="6876" w:hRule="exact" w:wrap="around" w:vAnchor="page" w:hAnchor="page" w:x="1741" w:y="2244"/>
        <w:numPr>
          <w:ilvl w:val="0"/>
          <w:numId w:val="3"/>
        </w:numPr>
        <w:shd w:val="clear" w:color="auto" w:fill="auto"/>
        <w:spacing w:before="0" w:after="0"/>
        <w:ind w:left="400" w:right="40"/>
      </w:pPr>
      <w:r>
        <w:t xml:space="preserve"> Центр Розвитку КСВ [Електронний ресурс]. - Режим доступу: </w:t>
      </w:r>
      <w:hyperlink r:id="rId10" w:history="1">
        <w:r>
          <w:rPr>
            <w:rStyle w:val="a3"/>
            <w:lang w:val="en-US" w:eastAsia="en-US" w:bidi="en-US"/>
          </w:rPr>
          <w:t>http://www. csrinfo. org. ua/uk/</w:t>
        </w:r>
      </w:hyperlink>
      <w:r>
        <w:rPr>
          <w:lang w:val="en-US" w:eastAsia="en-US" w:bidi="en-US"/>
        </w:rPr>
        <w:t xml:space="preserve"> csrre ports.html.</w:t>
      </w:r>
    </w:p>
    <w:p w:rsidR="00FA1010" w:rsidRDefault="001D4B71">
      <w:pPr>
        <w:pStyle w:val="30"/>
        <w:framePr w:w="8789" w:h="6876" w:hRule="exact" w:wrap="around" w:vAnchor="page" w:hAnchor="page" w:x="1741" w:y="2244"/>
        <w:numPr>
          <w:ilvl w:val="0"/>
          <w:numId w:val="3"/>
        </w:numPr>
        <w:shd w:val="clear" w:color="auto" w:fill="auto"/>
        <w:spacing w:before="0" w:after="0"/>
        <w:ind w:left="400" w:right="40"/>
      </w:pPr>
      <w:r>
        <w:rPr>
          <w:lang w:val="en-US" w:eastAsia="en-US" w:bidi="en-US"/>
        </w:rPr>
        <w:t xml:space="preserve"> </w:t>
      </w:r>
      <w:r>
        <w:t xml:space="preserve">Шигун </w:t>
      </w:r>
      <w:r>
        <w:rPr>
          <w:lang w:val="en-US" w:eastAsia="en-US" w:bidi="en-US"/>
        </w:rPr>
        <w:t xml:space="preserve">M. M. </w:t>
      </w:r>
      <w:r>
        <w:t>Корпоративна соціальна звітність як перспектива інформування про люд</w:t>
      </w:r>
      <w:r>
        <w:softHyphen/>
        <w:t>ський капітал вітчизняних компаній</w:t>
      </w:r>
      <w:r>
        <w:rPr>
          <w:rStyle w:val="30pt"/>
        </w:rPr>
        <w:t xml:space="preserve"> / </w:t>
      </w:r>
      <w:r>
        <w:t>М. М. Шигун, Т. В. Давидюк // Вісник Запорізького національного університету. - 2011. - № 1(9). - С. 173-178.</w:t>
      </w:r>
    </w:p>
    <w:p w:rsidR="00FA1010" w:rsidRDefault="001D4B71">
      <w:pPr>
        <w:pStyle w:val="30"/>
        <w:framePr w:w="8789" w:h="6876" w:hRule="exact" w:wrap="around" w:vAnchor="page" w:hAnchor="page" w:x="1741" w:y="2244"/>
        <w:numPr>
          <w:ilvl w:val="0"/>
          <w:numId w:val="3"/>
        </w:numPr>
        <w:shd w:val="clear" w:color="auto" w:fill="auto"/>
        <w:spacing w:before="0" w:after="0"/>
        <w:ind w:left="400" w:right="40"/>
      </w:pPr>
      <w:r>
        <w:t xml:space="preserve"> </w:t>
      </w:r>
      <w:r>
        <w:rPr>
          <w:lang w:val="en-US" w:eastAsia="en-US" w:bidi="en-US"/>
        </w:rPr>
        <w:t>European Accountants call f</w:t>
      </w:r>
      <w:r>
        <w:rPr>
          <w:lang w:val="en-US" w:eastAsia="en-US" w:bidi="en-US"/>
        </w:rPr>
        <w:t xml:space="preserve">or a specific international standard on sustainability assurance </w:t>
      </w:r>
      <w:r>
        <w:t xml:space="preserve">[Електронний ресурс]. </w:t>
      </w:r>
      <w:r>
        <w:rPr>
          <w:lang w:val="en-US" w:eastAsia="en-US" w:bidi="en-US"/>
        </w:rPr>
        <w:t xml:space="preserve">- </w:t>
      </w:r>
      <w:r>
        <w:t xml:space="preserve">Режим доступу: </w:t>
      </w:r>
      <w:hyperlink r:id="rId11" w:history="1">
        <w:r>
          <w:rPr>
            <w:rStyle w:val="a3"/>
            <w:lang w:val="en-US" w:eastAsia="en-US" w:bidi="en-US"/>
          </w:rPr>
          <w:t>http://www.iasplus. com/europe/0606feesustainpr.pdf.</w:t>
        </w:r>
      </w:hyperlink>
    </w:p>
    <w:p w:rsidR="00FA1010" w:rsidRDefault="001D4B71">
      <w:pPr>
        <w:pStyle w:val="a5"/>
        <w:framePr w:wrap="around" w:vAnchor="page" w:hAnchor="page" w:x="1381" w:y="15539"/>
        <w:shd w:val="clear" w:color="auto" w:fill="auto"/>
        <w:spacing w:before="0" w:line="170" w:lineRule="exact"/>
        <w:ind w:left="20"/>
      </w:pPr>
      <w:r>
        <w:rPr>
          <w:lang w:val="en-US" w:eastAsia="en-US" w:bidi="en-US"/>
        </w:rPr>
        <w:t>206</w:t>
      </w:r>
    </w:p>
    <w:p w:rsidR="00FA1010" w:rsidRDefault="001D4B71">
      <w:pPr>
        <w:pStyle w:val="32"/>
        <w:framePr w:wrap="around" w:vAnchor="page" w:hAnchor="page" w:x="8312" w:y="15545"/>
        <w:shd w:val="clear" w:color="auto" w:fill="auto"/>
        <w:spacing w:line="130" w:lineRule="exact"/>
        <w:ind w:left="20"/>
      </w:pPr>
      <w:r>
        <w:t xml:space="preserve">Наука молода № 19, 2013 </w:t>
      </w:r>
      <w:r>
        <w:rPr>
          <w:lang w:val="en-US" w:eastAsia="en-US" w:bidi="en-US"/>
        </w:rPr>
        <w:t>p.</w:t>
      </w:r>
    </w:p>
    <w:p w:rsidR="00FA1010" w:rsidRDefault="00FA1010">
      <w:pPr>
        <w:rPr>
          <w:sz w:val="2"/>
          <w:szCs w:val="2"/>
        </w:rPr>
      </w:pPr>
    </w:p>
    <w:sectPr w:rsidR="00FA1010" w:rsidSect="00FA101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B71" w:rsidRDefault="001D4B71" w:rsidP="00FA1010">
      <w:r>
        <w:separator/>
      </w:r>
    </w:p>
  </w:endnote>
  <w:endnote w:type="continuationSeparator" w:id="1">
    <w:p w:rsidR="001D4B71" w:rsidRDefault="001D4B71" w:rsidP="00FA1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B71" w:rsidRDefault="001D4B71"/>
  </w:footnote>
  <w:footnote w:type="continuationSeparator" w:id="1">
    <w:p w:rsidR="001D4B71" w:rsidRDefault="001D4B7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59C"/>
    <w:multiLevelType w:val="multilevel"/>
    <w:tmpl w:val="38E4EE0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2462B9"/>
    <w:multiLevelType w:val="multilevel"/>
    <w:tmpl w:val="295ACE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9D1CA3"/>
    <w:multiLevelType w:val="multilevel"/>
    <w:tmpl w:val="AA8AEC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A1010"/>
    <w:rsid w:val="001D4B71"/>
    <w:rsid w:val="0077136C"/>
    <w:rsid w:val="00FA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2"/>
        <o:r id="V:Rule2" type="connector" idref="#_x0000_s1041"/>
        <o:r id="V:Rule3" type="connector" idref="#_x0000_s1040"/>
        <o:r id="V:Rule4" type="connector" idref="#_x0000_s1039"/>
        <o:r id="V:Rule5" type="connector" idref="#_x0000_s1038"/>
        <o:r id="V:Rule6" type="connector" idref="#_x0000_s1037"/>
        <o:r id="V:Rule7" type="connector" idref="#_x0000_s1036"/>
        <o:r id="V:Rule8" type="connector" idref="#_x0000_s1035"/>
        <o:r id="V:Rule9" type="connector" idref="#_x0000_s1034"/>
        <o:r id="V:Rule10" type="connector" idref="#_x0000_s1033"/>
        <o:r id="V:Rule11" type="connector" idref="#_x0000_s1032"/>
        <o:r id="V:Rule12" type="connector" idref="#_x0000_s1031"/>
        <o:r id="V:Rule13" type="connector" idref="#_x0000_s1030"/>
        <o:r id="V:Rule14" type="connector" idref="#_x0000_s1029"/>
        <o:r id="V:Rule15" type="connector" idref="#_x0000_s1028"/>
        <o:r id="V:Rule1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10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1010"/>
    <w:rPr>
      <w:color w:val="0066CC"/>
      <w:u w:val="single"/>
    </w:rPr>
  </w:style>
  <w:style w:type="character" w:customStyle="1" w:styleId="2">
    <w:name w:val="Колонтитул (2)_"/>
    <w:basedOn w:val="a0"/>
    <w:link w:val="20"/>
    <w:rsid w:val="00FA101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a4">
    <w:name w:val="Колонтитул_"/>
    <w:basedOn w:val="a0"/>
    <w:link w:val="a5"/>
    <w:rsid w:val="00FA1010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21">
    <w:name w:val="Основний текст (2)_"/>
    <w:basedOn w:val="a0"/>
    <w:link w:val="22"/>
    <w:rsid w:val="00FA1010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FA1010"/>
    <w:rPr>
      <w:rFonts w:ascii="Garamond" w:eastAsia="Garamond" w:hAnsi="Garamond" w:cs="Garamond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3">
    <w:name w:val="Основний текст (3)_"/>
    <w:basedOn w:val="a0"/>
    <w:link w:val="30"/>
    <w:rsid w:val="00FA101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6">
    <w:name w:val="Основний текст_"/>
    <w:basedOn w:val="a0"/>
    <w:link w:val="a7"/>
    <w:rsid w:val="00FA101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4">
    <w:name w:val="Основний текст (4)_"/>
    <w:basedOn w:val="a0"/>
    <w:link w:val="40"/>
    <w:rsid w:val="00FA101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character" w:customStyle="1" w:styleId="31">
    <w:name w:val="Колонтитул (3)_"/>
    <w:basedOn w:val="a0"/>
    <w:link w:val="32"/>
    <w:rsid w:val="00FA1010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3"/>
      <w:szCs w:val="13"/>
      <w:u w:val="none"/>
    </w:rPr>
  </w:style>
  <w:style w:type="character" w:customStyle="1" w:styleId="5">
    <w:name w:val="Основний текст (5)_"/>
    <w:basedOn w:val="a0"/>
    <w:link w:val="50"/>
    <w:rsid w:val="00FA101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6">
    <w:name w:val="Основний текст (6)_"/>
    <w:basedOn w:val="a0"/>
    <w:link w:val="60"/>
    <w:rsid w:val="00FA1010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character" w:customStyle="1" w:styleId="2Garamond95pt0pt">
    <w:name w:val="Основний текст (2) + Garamond;9;5 pt;Не курсив;Інтервал 0 pt"/>
    <w:basedOn w:val="21"/>
    <w:rsid w:val="00FA1010"/>
    <w:rPr>
      <w:rFonts w:ascii="Garamond" w:eastAsia="Garamond" w:hAnsi="Garamond" w:cs="Garamond"/>
      <w:i/>
      <w:iCs/>
      <w:color w:val="000000"/>
      <w:spacing w:val="7"/>
      <w:w w:val="100"/>
      <w:position w:val="0"/>
      <w:sz w:val="19"/>
      <w:szCs w:val="19"/>
      <w:lang w:val="uk-UA" w:eastAsia="uk-UA" w:bidi="uk-UA"/>
    </w:rPr>
  </w:style>
  <w:style w:type="character" w:customStyle="1" w:styleId="a8">
    <w:name w:val="Підпис до таблиці_"/>
    <w:basedOn w:val="a0"/>
    <w:link w:val="a9"/>
    <w:rsid w:val="00FA101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7">
    <w:name w:val="Основний текст (7)_"/>
    <w:basedOn w:val="a0"/>
    <w:link w:val="70"/>
    <w:rsid w:val="00FA1010"/>
    <w:rPr>
      <w:rFonts w:ascii="Garamond" w:eastAsia="Garamond" w:hAnsi="Garamond" w:cs="Garamond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75pt0pt">
    <w:name w:val="Основний текст + 7;5 pt;Напівжирний;Інтервал 0 pt"/>
    <w:basedOn w:val="a6"/>
    <w:rsid w:val="00FA1010"/>
    <w:rPr>
      <w:b/>
      <w:bCs/>
      <w:color w:val="000000"/>
      <w:spacing w:val="-1"/>
      <w:w w:val="100"/>
      <w:position w:val="0"/>
      <w:sz w:val="15"/>
      <w:szCs w:val="15"/>
      <w:lang w:val="uk-UA" w:eastAsia="uk-UA" w:bidi="uk-UA"/>
    </w:rPr>
  </w:style>
  <w:style w:type="character" w:customStyle="1" w:styleId="7pt0pt">
    <w:name w:val="Основний текст + 7 pt;Інтервал 0 pt"/>
    <w:basedOn w:val="a6"/>
    <w:rsid w:val="00FA1010"/>
    <w:rPr>
      <w:color w:val="000000"/>
      <w:spacing w:val="4"/>
      <w:w w:val="100"/>
      <w:position w:val="0"/>
      <w:sz w:val="14"/>
      <w:szCs w:val="14"/>
      <w:lang w:val="uk-UA" w:eastAsia="uk-UA" w:bidi="uk-UA"/>
    </w:rPr>
  </w:style>
  <w:style w:type="character" w:customStyle="1" w:styleId="30pt">
    <w:name w:val="Основний текст (3) + Не курсив;Інтервал 0 pt"/>
    <w:basedOn w:val="3"/>
    <w:rsid w:val="00FA1010"/>
    <w:rPr>
      <w:i/>
      <w:iCs/>
      <w:color w:val="000000"/>
      <w:spacing w:val="2"/>
      <w:w w:val="100"/>
      <w:position w:val="0"/>
      <w:lang w:val="uk-UA" w:eastAsia="uk-UA" w:bidi="uk-UA"/>
    </w:rPr>
  </w:style>
  <w:style w:type="paragraph" w:customStyle="1" w:styleId="20">
    <w:name w:val="Колонтитул (2)"/>
    <w:basedOn w:val="a"/>
    <w:link w:val="2"/>
    <w:rsid w:val="00FA1010"/>
    <w:pPr>
      <w:shd w:val="clear" w:color="auto" w:fill="FFFFFF"/>
      <w:spacing w:after="60" w:line="0" w:lineRule="atLeast"/>
    </w:pPr>
    <w:rPr>
      <w:rFonts w:ascii="Garamond" w:eastAsia="Garamond" w:hAnsi="Garamond" w:cs="Garamond"/>
      <w:spacing w:val="4"/>
      <w:sz w:val="16"/>
      <w:szCs w:val="16"/>
    </w:rPr>
  </w:style>
  <w:style w:type="paragraph" w:customStyle="1" w:styleId="a5">
    <w:name w:val="Колонтитул"/>
    <w:basedOn w:val="a"/>
    <w:link w:val="a4"/>
    <w:rsid w:val="00FA1010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3"/>
      <w:sz w:val="17"/>
      <w:szCs w:val="17"/>
    </w:rPr>
  </w:style>
  <w:style w:type="paragraph" w:customStyle="1" w:styleId="22">
    <w:name w:val="Основний текст (2)"/>
    <w:basedOn w:val="a"/>
    <w:link w:val="21"/>
    <w:rsid w:val="00FA1010"/>
    <w:pPr>
      <w:shd w:val="clear" w:color="auto" w:fill="FFFFFF"/>
      <w:spacing w:after="540" w:line="0" w:lineRule="atLeast"/>
      <w:jc w:val="right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10">
    <w:name w:val="Заголовок №1"/>
    <w:basedOn w:val="a"/>
    <w:link w:val="1"/>
    <w:rsid w:val="00FA1010"/>
    <w:pPr>
      <w:shd w:val="clear" w:color="auto" w:fill="FFFFFF"/>
      <w:spacing w:before="540" w:after="420" w:line="298" w:lineRule="exact"/>
      <w:jc w:val="center"/>
      <w:outlineLvl w:val="0"/>
    </w:pPr>
    <w:rPr>
      <w:rFonts w:ascii="Garamond" w:eastAsia="Garamond" w:hAnsi="Garamond" w:cs="Garamond"/>
      <w:b/>
      <w:bCs/>
      <w:spacing w:val="7"/>
      <w:sz w:val="19"/>
      <w:szCs w:val="19"/>
    </w:rPr>
  </w:style>
  <w:style w:type="paragraph" w:customStyle="1" w:styleId="30">
    <w:name w:val="Основний текст (3)"/>
    <w:basedOn w:val="a"/>
    <w:link w:val="3"/>
    <w:rsid w:val="00FA1010"/>
    <w:pPr>
      <w:shd w:val="clear" w:color="auto" w:fill="FFFFFF"/>
      <w:spacing w:before="420" w:after="180" w:line="250" w:lineRule="exact"/>
      <w:ind w:hanging="400"/>
      <w:jc w:val="both"/>
    </w:pPr>
    <w:rPr>
      <w:rFonts w:ascii="Arial" w:eastAsia="Arial" w:hAnsi="Arial" w:cs="Arial"/>
      <w:i/>
      <w:iCs/>
      <w:sz w:val="17"/>
      <w:szCs w:val="17"/>
    </w:rPr>
  </w:style>
  <w:style w:type="paragraph" w:customStyle="1" w:styleId="a7">
    <w:name w:val="Основний текст"/>
    <w:basedOn w:val="a"/>
    <w:link w:val="a6"/>
    <w:rsid w:val="00FA1010"/>
    <w:pPr>
      <w:shd w:val="clear" w:color="auto" w:fill="FFFFFF"/>
      <w:spacing w:before="180" w:line="250" w:lineRule="exact"/>
      <w:jc w:val="both"/>
    </w:pPr>
    <w:rPr>
      <w:rFonts w:ascii="Arial" w:eastAsia="Arial" w:hAnsi="Arial" w:cs="Arial"/>
      <w:spacing w:val="2"/>
      <w:sz w:val="17"/>
      <w:szCs w:val="17"/>
    </w:rPr>
  </w:style>
  <w:style w:type="paragraph" w:customStyle="1" w:styleId="40">
    <w:name w:val="Основний текст (4)"/>
    <w:basedOn w:val="a"/>
    <w:link w:val="4"/>
    <w:rsid w:val="00FA1010"/>
    <w:pPr>
      <w:shd w:val="clear" w:color="auto" w:fill="FFFFFF"/>
      <w:spacing w:before="300" w:line="0" w:lineRule="atLeast"/>
    </w:pPr>
    <w:rPr>
      <w:rFonts w:ascii="Garamond" w:eastAsia="Garamond" w:hAnsi="Garamond" w:cs="Garamond"/>
      <w:spacing w:val="4"/>
      <w:sz w:val="14"/>
      <w:szCs w:val="14"/>
    </w:rPr>
  </w:style>
  <w:style w:type="paragraph" w:customStyle="1" w:styleId="32">
    <w:name w:val="Колонтитул (3)"/>
    <w:basedOn w:val="a"/>
    <w:link w:val="31"/>
    <w:rsid w:val="00FA1010"/>
    <w:pPr>
      <w:shd w:val="clear" w:color="auto" w:fill="FFFFFF"/>
      <w:spacing w:line="0" w:lineRule="atLeast"/>
    </w:pPr>
    <w:rPr>
      <w:rFonts w:ascii="Arial" w:eastAsia="Arial" w:hAnsi="Arial" w:cs="Arial"/>
      <w:spacing w:val="3"/>
      <w:sz w:val="13"/>
      <w:szCs w:val="13"/>
    </w:rPr>
  </w:style>
  <w:style w:type="paragraph" w:customStyle="1" w:styleId="50">
    <w:name w:val="Основний текст (5)"/>
    <w:basedOn w:val="a"/>
    <w:link w:val="5"/>
    <w:rsid w:val="00FA1010"/>
    <w:pPr>
      <w:shd w:val="clear" w:color="auto" w:fill="FFFFFF"/>
      <w:spacing w:line="216" w:lineRule="exact"/>
      <w:jc w:val="center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60">
    <w:name w:val="Основний текст (6)"/>
    <w:basedOn w:val="a"/>
    <w:link w:val="6"/>
    <w:rsid w:val="00FA1010"/>
    <w:pPr>
      <w:shd w:val="clear" w:color="auto" w:fill="FFFFFF"/>
      <w:spacing w:before="1140" w:line="202" w:lineRule="exact"/>
    </w:pPr>
    <w:rPr>
      <w:rFonts w:ascii="Arial" w:eastAsia="Arial" w:hAnsi="Arial" w:cs="Arial"/>
      <w:spacing w:val="4"/>
      <w:sz w:val="14"/>
      <w:szCs w:val="14"/>
    </w:rPr>
  </w:style>
  <w:style w:type="paragraph" w:customStyle="1" w:styleId="a9">
    <w:name w:val="Підпис до таблиці"/>
    <w:basedOn w:val="a"/>
    <w:link w:val="a8"/>
    <w:rsid w:val="00FA1010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70">
    <w:name w:val="Основний текст (7)"/>
    <w:basedOn w:val="a"/>
    <w:link w:val="7"/>
    <w:rsid w:val="00FA1010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pacing w:val="7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LIBRARY\AppData\Local\Temp\FineReader11.00\media\image1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asplus.com/europe/0606feesustainpr.pdf.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srinfo.org.ua/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vb.org.ua/publications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10881</Words>
  <Characters>6203</Characters>
  <Application>Microsoft Office Word</Application>
  <DocSecurity>0</DocSecurity>
  <Lines>51</Lines>
  <Paragraphs>34</Paragraphs>
  <ScaleCrop>false</ScaleCrop>
  <Company>Microsoft</Company>
  <LinksUpToDate>false</LinksUpToDate>
  <CharactersWithSpaces>17050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2</cp:revision>
  <dcterms:created xsi:type="dcterms:W3CDTF">2017-06-14T11:14:00Z</dcterms:created>
  <dcterms:modified xsi:type="dcterms:W3CDTF">2017-06-14T11:15:00Z</dcterms:modified>
</cp:coreProperties>
</file>