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B9" w:rsidRDefault="00311897">
      <w:pPr>
        <w:pStyle w:val="20"/>
        <w:framePr w:w="4301" w:h="464" w:hRule="exact" w:wrap="around" w:vAnchor="page" w:hAnchor="page" w:x="1525" w:y="1077"/>
        <w:shd w:val="clear" w:color="auto" w:fill="auto"/>
        <w:spacing w:after="41" w:line="160" w:lineRule="exact"/>
        <w:ind w:left="40"/>
      </w:pPr>
      <w:r>
        <w:t>О. Черевко</w:t>
      </w:r>
    </w:p>
    <w:p w:rsidR="00F172B9" w:rsidRDefault="00311897">
      <w:pPr>
        <w:pStyle w:val="a5"/>
        <w:framePr w:w="4301" w:h="464" w:hRule="exact" w:wrap="around" w:vAnchor="page" w:hAnchor="page" w:x="1525" w:y="1077"/>
        <w:shd w:val="clear" w:color="auto" w:fill="auto"/>
        <w:spacing w:before="0" w:line="170" w:lineRule="exact"/>
        <w:ind w:left="40"/>
      </w:pPr>
      <w:r>
        <w:t>Проблематика подвійного оподаткування .</w:t>
      </w:r>
    </w:p>
    <w:p w:rsidR="00F172B9" w:rsidRDefault="00311897">
      <w:pPr>
        <w:pStyle w:val="10"/>
        <w:framePr w:w="9082" w:h="12185" w:hRule="exact" w:wrap="around" w:vAnchor="page" w:hAnchor="page" w:x="1535" w:y="2477"/>
        <w:shd w:val="clear" w:color="auto" w:fill="auto"/>
        <w:spacing w:after="432" w:line="180" w:lineRule="exact"/>
        <w:ind w:right="20"/>
      </w:pPr>
      <w:bookmarkStart w:id="0" w:name="bookmark0"/>
      <w:r>
        <w:t>Ольга ЧЕРЕВКО</w:t>
      </w:r>
      <w:bookmarkEnd w:id="0"/>
    </w:p>
    <w:p w:rsidR="00F172B9" w:rsidRDefault="00311897">
      <w:pPr>
        <w:pStyle w:val="22"/>
        <w:framePr w:w="9082" w:h="12185" w:hRule="exact" w:wrap="around" w:vAnchor="page" w:hAnchor="page" w:x="1535" w:y="2477"/>
        <w:shd w:val="clear" w:color="auto" w:fill="auto"/>
        <w:spacing w:before="0" w:after="275"/>
      </w:pPr>
      <w:r>
        <w:t>ПРОБЛЕМАТИКА ПОДВІЙНОГО ОПОДАТКУВАННЯ В КОНТЕКСТІ ФОРМУВАННЯ ФІСКАЛЬНОЇ ПОЛІТИКИ ДЕРЖАВИ</w:t>
      </w:r>
    </w:p>
    <w:p w:rsidR="00F172B9" w:rsidRDefault="00311897">
      <w:pPr>
        <w:pStyle w:val="30"/>
        <w:framePr w:w="9082" w:h="12185" w:hRule="exact" w:wrap="around" w:vAnchor="page" w:hAnchor="page" w:x="1535" w:y="2477"/>
        <w:shd w:val="clear" w:color="auto" w:fill="auto"/>
        <w:spacing w:before="0" w:after="236"/>
        <w:ind w:left="20" w:right="20" w:firstLine="280"/>
      </w:pPr>
      <w:r>
        <w:rPr>
          <w:lang w:val="uk-UA" w:eastAsia="uk-UA" w:bidi="uk-UA"/>
        </w:rPr>
        <w:t>Проаналізовано теоретичні основи подвійного оподаткування як одного</w:t>
      </w:r>
      <w:r>
        <w:rPr>
          <w:rStyle w:val="30pt"/>
        </w:rPr>
        <w:t xml:space="preserve"> з </w:t>
      </w:r>
      <w:r>
        <w:rPr>
          <w:lang w:val="uk-UA" w:eastAsia="uk-UA" w:bidi="uk-UA"/>
        </w:rPr>
        <w:t xml:space="preserve">важливих факторів формування </w:t>
      </w:r>
      <w:r>
        <w:rPr>
          <w:lang w:val="uk-UA" w:eastAsia="uk-UA" w:bidi="uk-UA"/>
        </w:rPr>
        <w:t>податково-бюджетної'політики країни. Досліджено механізм регулювання цього явища в Україні та світі.</w:t>
      </w:r>
    </w:p>
    <w:p w:rsidR="00F172B9" w:rsidRDefault="00311897">
      <w:pPr>
        <w:pStyle w:val="30"/>
        <w:framePr w:w="9082" w:h="12185" w:hRule="exact" w:wrap="around" w:vAnchor="page" w:hAnchor="page" w:x="1535" w:y="2477"/>
        <w:shd w:val="clear" w:color="auto" w:fill="auto"/>
        <w:spacing w:before="0" w:after="244" w:line="259" w:lineRule="exact"/>
        <w:ind w:left="20" w:right="20" w:firstLine="280"/>
      </w:pPr>
      <w:r>
        <w:t>The theoretical basis of double taxation as one of the important factors of fiscal policy is explored in the article. The regulation mechanism of this phen</w:t>
      </w:r>
      <w:r>
        <w:t>omenon in Ukraine and abroad is analyzed.</w:t>
      </w:r>
    </w:p>
    <w:p w:rsidR="00F172B9" w:rsidRDefault="00311897">
      <w:pPr>
        <w:pStyle w:val="a7"/>
        <w:framePr w:w="9082" w:h="12185" w:hRule="exact" w:wrap="around" w:vAnchor="page" w:hAnchor="page" w:x="1535" w:y="2477"/>
        <w:shd w:val="clear" w:color="auto" w:fill="auto"/>
        <w:spacing w:before="0"/>
        <w:ind w:left="20" w:right="20" w:firstLine="280"/>
      </w:pPr>
      <w:r>
        <w:t xml:space="preserve">Сучасний етап розвитку економічних відносин характеризується прогресуючими глобалізаційними та інтеграційними процесами. Перехід держави до більш відкритої економіки стимулює приплив інвестицій, технологій, </w:t>
      </w:r>
      <w:r>
        <w:t>інформації з-за кордону. Потоки товарів і послуг через національні кордони супроводжуються зустрічними потоками грошових засобів. Залучаючи свої трудові, природні та фінансові ресурси до зовнішньоекономічної діяльності, держава все гостріше стикається з пр</w:t>
      </w:r>
      <w:r>
        <w:t>обле</w:t>
      </w:r>
      <w:r>
        <w:softHyphen/>
        <w:t>мами формування максимально ефективної податково-бюджетної політики.</w:t>
      </w:r>
    </w:p>
    <w:p w:rsidR="00F172B9" w:rsidRDefault="00311897">
      <w:pPr>
        <w:pStyle w:val="a7"/>
        <w:framePr w:w="9082" w:h="12185" w:hRule="exact" w:wrap="around" w:vAnchor="page" w:hAnchor="page" w:x="1535" w:y="2477"/>
        <w:shd w:val="clear" w:color="auto" w:fill="auto"/>
        <w:spacing w:before="0"/>
        <w:ind w:left="20" w:right="20" w:firstLine="280"/>
      </w:pPr>
      <w:r>
        <w:t>Важливо зазначити, що податковий режим часто визначає економічний розвиток держави за рахунок руху інвестицій, стану міжнародної торгівлі товарами та послугами, а також різноманітних</w:t>
      </w:r>
      <w:r>
        <w:t xml:space="preserve"> міждержавних зв’язків.</w:t>
      </w:r>
    </w:p>
    <w:p w:rsidR="00F172B9" w:rsidRDefault="00311897">
      <w:pPr>
        <w:pStyle w:val="a7"/>
        <w:framePr w:w="9082" w:h="12185" w:hRule="exact" w:wrap="around" w:vAnchor="page" w:hAnchor="page" w:x="1535" w:y="2477"/>
        <w:shd w:val="clear" w:color="auto" w:fill="auto"/>
        <w:spacing w:before="0"/>
        <w:ind w:left="20" w:right="20" w:firstLine="280"/>
      </w:pPr>
      <w:r>
        <w:t>Фіскальна політика передбачає собою комплекс дій, спрямованих на організацію і стимулювання надходжень до державного та місцевих бюджетів, державних цільових фондів, а також розподіл державних коштів, більша частина яких утворюється</w:t>
      </w:r>
      <w:r>
        <w:t xml:space="preserve"> за рахунок податкових платежів фізичних та юридичних осіб. При формуванні ефективної податково-бюджетної політики в умовах відкритої еконо</w:t>
      </w:r>
      <w:r>
        <w:softHyphen/>
        <w:t>міки необхідно враховувати як соціально-економічні, так і політико-правові фактори. Одним із них є необхідність уник</w:t>
      </w:r>
      <w:r>
        <w:t>нення подвійного оподаткування доходів.</w:t>
      </w:r>
    </w:p>
    <w:p w:rsidR="00F172B9" w:rsidRDefault="00311897">
      <w:pPr>
        <w:pStyle w:val="a7"/>
        <w:framePr w:w="9082" w:h="12185" w:hRule="exact" w:wrap="around" w:vAnchor="page" w:hAnchor="page" w:x="1535" w:y="2477"/>
        <w:shd w:val="clear" w:color="auto" w:fill="auto"/>
        <w:spacing w:before="0"/>
        <w:ind w:left="20" w:right="20" w:firstLine="280"/>
      </w:pPr>
      <w:r>
        <w:t>Можливість виникнення подвійного оподаткування призводить до збільшення податкового навантаження, що може стати значною перешкодою для господарської діяльності підприємств, призвести до втрати будь-якого змісту діяль</w:t>
      </w:r>
      <w:r>
        <w:t>ності фізичних осіб, викликати недоцільність їх подальшого розвитку, а також спричинити зменшення надходжень до державного бюджету, зниження обсягів вхідних інвестиційних потоків, погіршення економічних відносин між країнами, регресивний розвиток технологі</w:t>
      </w:r>
      <w:r>
        <w:t>й та науки, торговельної діяльності і зниження темпів економічного зростання країни загалом.</w:t>
      </w:r>
    </w:p>
    <w:p w:rsidR="00F172B9" w:rsidRDefault="00311897">
      <w:pPr>
        <w:pStyle w:val="a7"/>
        <w:framePr w:w="9082" w:h="12185" w:hRule="exact" w:wrap="around" w:vAnchor="page" w:hAnchor="page" w:x="1535" w:y="2477"/>
        <w:shd w:val="clear" w:color="auto" w:fill="auto"/>
        <w:spacing w:before="0"/>
        <w:ind w:left="20" w:right="20" w:firstLine="280"/>
      </w:pPr>
      <w:r>
        <w:t>Проблема подвійного оподаткування виникає через доволі складну ситуацію при визначенні бази оподаткування, оскільки світова економіка дає змогу отримання різномані</w:t>
      </w:r>
      <w:r>
        <w:t>тних доходів, які потім важко класифікувати і виділити в окремий міжнародний стандарт. Окрім цього, своєрідну систему обліку доходів вимагає і розмежування платників на резидентів і нерезидентів [11].</w:t>
      </w:r>
    </w:p>
    <w:p w:rsidR="00F172B9" w:rsidRDefault="00311897">
      <w:pPr>
        <w:pStyle w:val="a7"/>
        <w:framePr w:w="9082" w:h="12185" w:hRule="exact" w:wrap="around" w:vAnchor="page" w:hAnchor="page" w:x="1535" w:y="2477"/>
        <w:shd w:val="clear" w:color="auto" w:fill="auto"/>
        <w:spacing w:before="0"/>
        <w:ind w:left="20" w:right="20" w:firstLine="280"/>
      </w:pPr>
      <w:r>
        <w:t>Проблематикою подвійного оподаткування займаються як за</w:t>
      </w:r>
      <w:r>
        <w:t>рубіжні, так і вітчизняні науковці: Е. Джанеба, А. Вайхенрідер, А. Збуднєвек, Р. Морк, Ю. Г. Дем’янчук, С. М. Морозов, І. Ю. Петраш, А. М. Путренко та ін. Однак на даний час недостатньо уваги приділено комплексному і системному дослідженню цієї проблеми, а</w:t>
      </w:r>
      <w:r>
        <w:t>налізу механізмів регулювання та уникнення подвійного оподаткування.</w:t>
      </w:r>
    </w:p>
    <w:p w:rsidR="00F172B9" w:rsidRDefault="00311897">
      <w:pPr>
        <w:pStyle w:val="a7"/>
        <w:framePr w:w="9082" w:h="12185" w:hRule="exact" w:wrap="around" w:vAnchor="page" w:hAnchor="page" w:x="1535" w:y="2477"/>
        <w:shd w:val="clear" w:color="auto" w:fill="auto"/>
        <w:spacing w:before="0"/>
        <w:ind w:left="20" w:right="20" w:firstLine="280"/>
      </w:pPr>
      <w:r>
        <w:t>Подвійне або багаторазове оподаткування - це проблема, яку потрібно намагатись вирішити, насамперед тому, що вона може негативно впливати як на економіку певної країни, так і на міжнародн</w:t>
      </w:r>
      <w:r>
        <w:t>і світогосподарські зв’язки; зумовлювати збільшення податкових правопорушень, а також зростання тіньової економіки.</w:t>
      </w:r>
    </w:p>
    <w:p w:rsidR="00F172B9" w:rsidRDefault="00311897">
      <w:pPr>
        <w:pStyle w:val="40"/>
        <w:framePr w:wrap="around" w:vAnchor="page" w:hAnchor="page" w:x="1535" w:y="14986"/>
        <w:shd w:val="clear" w:color="auto" w:fill="auto"/>
        <w:spacing w:before="0" w:line="130" w:lineRule="exact"/>
        <w:ind w:left="20"/>
      </w:pPr>
      <w:r>
        <w:t>© Ольга Черевко, 2013.</w:t>
      </w:r>
    </w:p>
    <w:p w:rsidR="00F172B9" w:rsidRDefault="00311897">
      <w:pPr>
        <w:pStyle w:val="a5"/>
        <w:framePr w:wrap="around" w:vAnchor="page" w:hAnchor="page" w:x="1506" w:y="15556"/>
        <w:shd w:val="clear" w:color="auto" w:fill="auto"/>
        <w:spacing w:before="0" w:line="170" w:lineRule="exact"/>
        <w:ind w:left="20"/>
      </w:pPr>
      <w:r>
        <w:t>144</w:t>
      </w:r>
    </w:p>
    <w:p w:rsidR="00F172B9" w:rsidRDefault="00311897">
      <w:pPr>
        <w:pStyle w:val="32"/>
        <w:framePr w:wrap="around" w:vAnchor="page" w:hAnchor="page" w:x="8428" w:y="15562"/>
        <w:shd w:val="clear" w:color="auto" w:fill="auto"/>
        <w:spacing w:line="130" w:lineRule="exact"/>
        <w:ind w:left="20"/>
      </w:pPr>
      <w:r>
        <w:t>Наука молода № 19, 2013 р.</w:t>
      </w:r>
    </w:p>
    <w:p w:rsidR="00F172B9" w:rsidRDefault="00F172B9">
      <w:pPr>
        <w:rPr>
          <w:sz w:val="2"/>
          <w:szCs w:val="2"/>
        </w:rPr>
        <w:sectPr w:rsidR="00F172B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172B9" w:rsidRDefault="00311897">
      <w:pPr>
        <w:pStyle w:val="a5"/>
        <w:framePr w:wrap="around" w:vAnchor="page" w:hAnchor="page" w:x="5394" w:y="1308"/>
        <w:shd w:val="clear" w:color="auto" w:fill="auto"/>
        <w:spacing w:before="0" w:line="170" w:lineRule="exact"/>
        <w:ind w:left="20"/>
      </w:pPr>
      <w:r>
        <w:lastRenderedPageBreak/>
        <w:t>Перспективи розвитку фінансово-кредитної системи</w:t>
      </w:r>
    </w:p>
    <w:p w:rsidR="00F172B9" w:rsidRDefault="00311897">
      <w:pPr>
        <w:pStyle w:val="a7"/>
        <w:framePr w:w="9091" w:h="13214" w:hRule="exact" w:wrap="around" w:vAnchor="page" w:hAnchor="page" w:x="1525" w:y="1720"/>
        <w:shd w:val="clear" w:color="auto" w:fill="auto"/>
        <w:spacing w:before="0"/>
        <w:ind w:left="20" w:firstLine="280"/>
      </w:pPr>
      <w:r>
        <w:t xml:space="preserve">Засадами, які </w:t>
      </w:r>
      <w:r>
        <w:t>зазвичай визначають сфери податкових інтересів, є такі:</w:t>
      </w:r>
    </w:p>
    <w:p w:rsidR="00F172B9" w:rsidRDefault="00311897">
      <w:pPr>
        <w:pStyle w:val="a7"/>
        <w:framePr w:w="9091" w:h="13214" w:hRule="exact" w:wrap="around" w:vAnchor="page" w:hAnchor="page" w:x="1525" w:y="1720"/>
        <w:numPr>
          <w:ilvl w:val="0"/>
          <w:numId w:val="1"/>
        </w:numPr>
        <w:shd w:val="clear" w:color="auto" w:fill="auto"/>
        <w:spacing w:before="0"/>
        <w:ind w:left="20" w:right="20" w:firstLine="280"/>
      </w:pPr>
      <w:r>
        <w:t xml:space="preserve"> засада резиденції - оподатковуються всі доходи осіб, які є резидентами певної території, незалежно від того, де ці доходи отримані;</w:t>
      </w:r>
    </w:p>
    <w:p w:rsidR="00F172B9" w:rsidRDefault="00311897">
      <w:pPr>
        <w:pStyle w:val="a7"/>
        <w:framePr w:w="9091" w:h="13214" w:hRule="exact" w:wrap="around" w:vAnchor="page" w:hAnchor="page" w:x="1525" w:y="1720"/>
        <w:numPr>
          <w:ilvl w:val="0"/>
          <w:numId w:val="1"/>
        </w:numPr>
        <w:shd w:val="clear" w:color="auto" w:fill="auto"/>
        <w:spacing w:before="0"/>
        <w:ind w:left="20" w:right="20" w:firstLine="280"/>
      </w:pPr>
      <w:r>
        <w:t xml:space="preserve"> засада джерела походження доходів - оподатковуються всі доходи осі</w:t>
      </w:r>
      <w:r>
        <w:t>б, отримані на певній території, незалежно від того, резидентами якої території є ці особи [5].</w:t>
      </w:r>
    </w:p>
    <w:p w:rsidR="00F172B9" w:rsidRDefault="00311897">
      <w:pPr>
        <w:pStyle w:val="a7"/>
        <w:framePr w:w="9091" w:h="13214" w:hRule="exact" w:wrap="around" w:vAnchor="page" w:hAnchor="page" w:x="1525" w:y="1720"/>
        <w:shd w:val="clear" w:color="auto" w:fill="auto"/>
        <w:spacing w:before="0"/>
        <w:ind w:left="20" w:right="20" w:firstLine="280"/>
      </w:pPr>
      <w:r>
        <w:t>Кожна територіальна одиниця, відштовхуючись від будь-якої з цих засад у межах своєї юрисдикції, може створювати протиріччя в чинному законодавстві, і виходячи з</w:t>
      </w:r>
      <w:r>
        <w:t xml:space="preserve"> цього виникають ситуації подвійного оподаткування.</w:t>
      </w:r>
    </w:p>
    <w:p w:rsidR="00F172B9" w:rsidRDefault="00311897">
      <w:pPr>
        <w:pStyle w:val="a7"/>
        <w:framePr w:w="9091" w:h="13214" w:hRule="exact" w:wrap="around" w:vAnchor="page" w:hAnchor="page" w:x="1525" w:y="1720"/>
        <w:shd w:val="clear" w:color="auto" w:fill="auto"/>
        <w:spacing w:before="0"/>
        <w:ind w:left="20" w:right="20" w:firstLine="280"/>
      </w:pPr>
      <w:r>
        <w:t>Зокрема, міжнародне подвійне оподаткування (при розгляді двох країн) виникає у випадках, коли:</w:t>
      </w:r>
    </w:p>
    <w:p w:rsidR="00F172B9" w:rsidRDefault="00311897">
      <w:pPr>
        <w:pStyle w:val="a7"/>
        <w:framePr w:w="9091" w:h="13214" w:hRule="exact" w:wrap="around" w:vAnchor="page" w:hAnchor="page" w:x="1525" w:y="1720"/>
        <w:numPr>
          <w:ilvl w:val="0"/>
          <w:numId w:val="2"/>
        </w:numPr>
        <w:shd w:val="clear" w:color="auto" w:fill="auto"/>
        <w:spacing w:before="0"/>
        <w:ind w:left="20" w:right="20" w:firstLine="280"/>
      </w:pPr>
      <w:r>
        <w:t xml:space="preserve"> країна А накладає податок на доходи особи, що юридично є резидентом країни А, незалежно від місця отримання </w:t>
      </w:r>
      <w:r>
        <w:t>доходів (утому числі в країні Б); а країна Б накладає податок на доходи, отримані в країні Б;</w:t>
      </w:r>
    </w:p>
    <w:p w:rsidR="00F172B9" w:rsidRDefault="00311897">
      <w:pPr>
        <w:pStyle w:val="a7"/>
        <w:framePr w:w="9091" w:h="13214" w:hRule="exact" w:wrap="around" w:vAnchor="page" w:hAnchor="page" w:x="1525" w:y="1720"/>
        <w:numPr>
          <w:ilvl w:val="0"/>
          <w:numId w:val="2"/>
        </w:numPr>
        <w:shd w:val="clear" w:color="auto" w:fill="auto"/>
        <w:spacing w:before="0"/>
        <w:ind w:left="20" w:right="20" w:firstLine="280"/>
      </w:pPr>
      <w:r>
        <w:t xml:space="preserve"> країна А і країна Б накладають податок на доходи залежно від джерела їхнього походження, але джерело походження кожна з країн визначає в межах своєї юрисдикції;</w:t>
      </w:r>
    </w:p>
    <w:p w:rsidR="00F172B9" w:rsidRDefault="00311897">
      <w:pPr>
        <w:pStyle w:val="a7"/>
        <w:framePr w:w="9091" w:h="13214" w:hRule="exact" w:wrap="around" w:vAnchor="page" w:hAnchor="page" w:x="1525" w:y="1720"/>
        <w:numPr>
          <w:ilvl w:val="0"/>
          <w:numId w:val="2"/>
        </w:numPr>
        <w:shd w:val="clear" w:color="auto" w:fill="auto"/>
        <w:spacing w:before="0"/>
        <w:ind w:left="20" w:right="20" w:firstLine="280"/>
      </w:pPr>
      <w:r>
        <w:t xml:space="preserve"> обидві країни накладають податок на доходи залежно від резидентства, але і країна А, і країна Б визначають платника податків резидентом їхньої країни протягом одного і того самого податкового періоду [1].</w:t>
      </w:r>
    </w:p>
    <w:p w:rsidR="00F172B9" w:rsidRDefault="00311897">
      <w:pPr>
        <w:pStyle w:val="a7"/>
        <w:framePr w:w="9091" w:h="13214" w:hRule="exact" w:wrap="around" w:vAnchor="page" w:hAnchor="page" w:x="1525" w:y="1720"/>
        <w:shd w:val="clear" w:color="auto" w:fill="auto"/>
        <w:spacing w:before="0"/>
        <w:ind w:left="20" w:right="20" w:firstLine="280"/>
      </w:pPr>
      <w:r>
        <w:t xml:space="preserve">Таке подвійне оподаткування вважається зовнішнім, </w:t>
      </w:r>
      <w:r>
        <w:t>оскільки для врегулювання ситуації необ</w:t>
      </w:r>
      <w:r>
        <w:softHyphen/>
        <w:t>хідна співпраця двох або більше суверенних держав (прийняття дво- чи багатосторонніх договорів- конвенцій про уникнення подвійного оподаткування,) [9]. Такі міжнародні договори є основними юридичними документами щодо</w:t>
      </w:r>
      <w:r>
        <w:t xml:space="preserve"> усунення подвійного оподаткування та запобігання податковим ухиленням.</w:t>
      </w:r>
    </w:p>
    <w:p w:rsidR="00F172B9" w:rsidRDefault="00311897">
      <w:pPr>
        <w:pStyle w:val="a7"/>
        <w:framePr w:w="9091" w:h="13214" w:hRule="exact" w:wrap="around" w:vAnchor="page" w:hAnchor="page" w:x="1525" w:y="1720"/>
        <w:shd w:val="clear" w:color="auto" w:fill="auto"/>
        <w:spacing w:before="0"/>
        <w:ind w:left="20" w:right="20" w:firstLine="280"/>
      </w:pPr>
      <w:r>
        <w:t xml:space="preserve">У статті 3 Податкового кодексу України зазначено, що міжнародні конвенції мають більшу юридичну силу порівняно з національним податковим законодавством: «...якщо міжнародним договором </w:t>
      </w:r>
      <w:r>
        <w:t>Укра</w:t>
      </w:r>
      <w:r>
        <w:softHyphen/>
        <w:t>їни, згода на обов’язковість якого надана Верховною Радою України, встановлено інші правила, ніж ті, що передбачені законами України з питань оподаткування, застосовуються правила міжнародного договору» [6].</w:t>
      </w:r>
    </w:p>
    <w:p w:rsidR="00F172B9" w:rsidRDefault="00311897">
      <w:pPr>
        <w:pStyle w:val="a7"/>
        <w:framePr w:w="9091" w:h="13214" w:hRule="exact" w:wrap="around" w:vAnchor="page" w:hAnchor="page" w:x="1525" w:y="1720"/>
        <w:shd w:val="clear" w:color="auto" w:fill="auto"/>
        <w:spacing w:before="0"/>
        <w:ind w:left="20" w:right="20" w:firstLine="280"/>
      </w:pPr>
      <w:r>
        <w:t>Наданий момент Україною укладені та є чинни</w:t>
      </w:r>
      <w:r>
        <w:t>ми такі договори з 71 країною, 68 з яких укладено Україною, а 3 - договори СРСР, що діють в Україні згідно із Законом України «Про правонаступництво України» до набуття чинності нових договорів [8].</w:t>
      </w:r>
    </w:p>
    <w:p w:rsidR="00F172B9" w:rsidRDefault="00311897">
      <w:pPr>
        <w:pStyle w:val="a7"/>
        <w:framePr w:w="9091" w:h="13214" w:hRule="exact" w:wrap="around" w:vAnchor="page" w:hAnchor="page" w:x="1525" w:y="1720"/>
        <w:shd w:val="clear" w:color="auto" w:fill="auto"/>
        <w:spacing w:before="0"/>
        <w:ind w:left="20" w:right="20" w:firstLine="280"/>
      </w:pPr>
      <w:r>
        <w:t>Міжнародні конвенції покликані відстоювати інтереси держа</w:t>
      </w:r>
      <w:r>
        <w:t xml:space="preserve">ви та захистити національного платника податків; окрім цього, збільшити надходження фінансових ресурсів до держбюджету України (за даними міністерства фінансів та міністерства доходів і зборів, передбачається, що підписаний в листопаді 2012 р. договір між </w:t>
      </w:r>
      <w:r>
        <w:t>Україною та Кіпром буде приносити 1 млрд. грн. щорічно [7]), а також зупинити неконтрольований відплив фінансового капіталу з країни за кордон.</w:t>
      </w:r>
    </w:p>
    <w:p w:rsidR="00F172B9" w:rsidRDefault="00311897">
      <w:pPr>
        <w:pStyle w:val="a7"/>
        <w:framePr w:w="9091" w:h="13214" w:hRule="exact" w:wrap="around" w:vAnchor="page" w:hAnchor="page" w:x="1525" w:y="1720"/>
        <w:shd w:val="clear" w:color="auto" w:fill="auto"/>
        <w:spacing w:before="0"/>
        <w:ind w:left="20" w:right="20" w:firstLine="280"/>
      </w:pPr>
      <w:r>
        <w:t xml:space="preserve">Податкова угода про усунення подвійного оподаткування доходів і капіталу в загальному вигляді зазвичай </w:t>
      </w:r>
      <w:r>
        <w:t>складається з трьох частин: у першій встановлюється сфера дії угоди, коло осіб та податки, що охоплюються договором; у другій - податкові режими; в третій передбачаються методи, загальні правила і порядок виконання угоди [10].</w:t>
      </w:r>
    </w:p>
    <w:p w:rsidR="00F172B9" w:rsidRDefault="00311897">
      <w:pPr>
        <w:pStyle w:val="a7"/>
        <w:framePr w:w="9091" w:h="13214" w:hRule="exact" w:wrap="around" w:vAnchor="page" w:hAnchor="page" w:x="1525" w:y="1720"/>
        <w:shd w:val="clear" w:color="auto" w:fill="auto"/>
        <w:spacing w:before="0"/>
        <w:ind w:left="20" w:right="20" w:firstLine="280"/>
      </w:pPr>
      <w:r>
        <w:t>Ключовими питаннями в міжнаро</w:t>
      </w:r>
      <w:r>
        <w:t>дних договорах є ставки оподаткування доходів від комерційної діяльності, дивідендів, процентів, роялті, а також при відчуженні майна.</w:t>
      </w:r>
    </w:p>
    <w:p w:rsidR="00F172B9" w:rsidRDefault="00311897">
      <w:pPr>
        <w:pStyle w:val="a7"/>
        <w:framePr w:w="9091" w:h="13214" w:hRule="exact" w:wrap="around" w:vAnchor="page" w:hAnchor="page" w:x="1525" w:y="1720"/>
        <w:shd w:val="clear" w:color="auto" w:fill="auto"/>
        <w:spacing w:before="0"/>
        <w:ind w:left="20" w:right="20" w:firstLine="280"/>
      </w:pPr>
      <w:r>
        <w:t>Подвійне оподаткування в практичній діяльності може усуватися такими методами [10]: відраху</w:t>
      </w:r>
      <w:r>
        <w:softHyphen/>
        <w:t>вання - податок сплачується з</w:t>
      </w:r>
      <w:r>
        <w:t>а ставкою, яка є найменшою за розміром у обох країнах-учасниках міжнародного договору; звільнення - оподатковуються доходи тільки в одній країні; кредит - сплачені в одній країні податки зараховуються як такі і в іншій країні (зовнішній податковий кредит);</w:t>
      </w:r>
      <w:r>
        <w:t xml:space="preserve"> знижка - розгляд податків, сплачених закордоном, як витрат, на які зменшується величина доходів, які підлягають оподаткуванню.</w:t>
      </w:r>
    </w:p>
    <w:p w:rsidR="00F172B9" w:rsidRDefault="00311897">
      <w:pPr>
        <w:pStyle w:val="a7"/>
        <w:framePr w:w="9091" w:h="13214" w:hRule="exact" w:wrap="around" w:vAnchor="page" w:hAnchor="page" w:x="1525" w:y="1720"/>
        <w:shd w:val="clear" w:color="auto" w:fill="auto"/>
        <w:spacing w:before="0"/>
        <w:ind w:left="20" w:right="20" w:firstLine="280"/>
      </w:pPr>
      <w:r>
        <w:t xml:space="preserve">Відповідно до податкового кодексу України, застосування правил міжнародного договору України здійснюється шляхом звільнення від </w:t>
      </w:r>
      <w:r>
        <w:t>оподаткування доходів із джерелом їх походження з України, зменшення ставки податку або шляхом повернення різниці між сплаченою сумою податку і сумою,</w:t>
      </w:r>
    </w:p>
    <w:p w:rsidR="00F172B9" w:rsidRDefault="00311897">
      <w:pPr>
        <w:pStyle w:val="32"/>
        <w:framePr w:wrap="around" w:vAnchor="page" w:hAnchor="page" w:x="1515" w:y="15564"/>
        <w:shd w:val="clear" w:color="auto" w:fill="auto"/>
        <w:spacing w:line="130" w:lineRule="exact"/>
        <w:ind w:left="20"/>
      </w:pPr>
      <w:r>
        <w:t>Наука молода № 19, 2013 р.</w:t>
      </w:r>
    </w:p>
    <w:p w:rsidR="00F172B9" w:rsidRDefault="00311897">
      <w:pPr>
        <w:pStyle w:val="a5"/>
        <w:framePr w:wrap="around" w:vAnchor="page" w:hAnchor="page" w:x="10299" w:y="15587"/>
        <w:shd w:val="clear" w:color="auto" w:fill="auto"/>
        <w:spacing w:before="0" w:line="170" w:lineRule="exact"/>
        <w:ind w:left="20"/>
      </w:pPr>
      <w:r>
        <w:t>145</w:t>
      </w:r>
    </w:p>
    <w:p w:rsidR="00F172B9" w:rsidRDefault="00F172B9">
      <w:pPr>
        <w:rPr>
          <w:sz w:val="2"/>
          <w:szCs w:val="2"/>
        </w:rPr>
        <w:sectPr w:rsidR="00F172B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172B9" w:rsidRDefault="00311897">
      <w:pPr>
        <w:pStyle w:val="20"/>
        <w:framePr w:w="9130" w:h="435" w:hRule="exact" w:wrap="around" w:vAnchor="page" w:hAnchor="page" w:x="1511" w:y="1070"/>
        <w:shd w:val="clear" w:color="auto" w:fill="auto"/>
        <w:spacing w:after="41" w:line="160" w:lineRule="exact"/>
        <w:ind w:left="40"/>
      </w:pPr>
      <w:r>
        <w:lastRenderedPageBreak/>
        <w:t>О. Черевко</w:t>
      </w:r>
    </w:p>
    <w:p w:rsidR="00F172B9" w:rsidRDefault="00311897">
      <w:pPr>
        <w:pStyle w:val="a5"/>
        <w:framePr w:w="9130" w:h="435" w:hRule="exact" w:wrap="around" w:vAnchor="page" w:hAnchor="page" w:x="1511" w:y="1070"/>
        <w:shd w:val="clear" w:color="auto" w:fill="auto"/>
        <w:spacing w:before="0" w:line="170" w:lineRule="exact"/>
        <w:ind w:left="40"/>
      </w:pPr>
      <w:r>
        <w:t>Проблематика подвійного оподаткування ...</w:t>
      </w:r>
    </w:p>
    <w:p w:rsidR="00F172B9" w:rsidRDefault="00311897">
      <w:pPr>
        <w:pStyle w:val="a7"/>
        <w:framePr w:w="9082" w:h="11472" w:hRule="exact" w:wrap="around" w:vAnchor="page" w:hAnchor="page" w:x="1535" w:y="1749"/>
        <w:shd w:val="clear" w:color="auto" w:fill="auto"/>
        <w:spacing w:before="0" w:line="259" w:lineRule="exact"/>
        <w:ind w:left="20" w:right="20" w:firstLine="0"/>
      </w:pPr>
      <w:r>
        <w:t>яку нерезиденту необхідно сплатити відповідно до міжнародного договору України. Пеня та штрафні санкції на суму податкового боргу в міжнародних правовідносинах не нараховуються [6].</w:t>
      </w:r>
    </w:p>
    <w:p w:rsidR="00F172B9" w:rsidRDefault="00311897">
      <w:pPr>
        <w:pStyle w:val="a7"/>
        <w:framePr w:w="9082" w:h="11472" w:hRule="exact" w:wrap="around" w:vAnchor="page" w:hAnchor="page" w:x="1535" w:y="1749"/>
        <w:shd w:val="clear" w:color="auto" w:fill="auto"/>
        <w:spacing w:before="0" w:line="259" w:lineRule="exact"/>
        <w:ind w:left="20" w:right="20" w:firstLine="280"/>
      </w:pPr>
      <w:r>
        <w:t xml:space="preserve">Також двічі накладається податок на прибуток, що розподіляється: </w:t>
      </w:r>
      <w:r>
        <w:t>наприклад, прибуток акціонерного товариства та дивіденди, що отримують акціонери цього акціонерного товариства за акціями (так зване економічне подвійне оподаткування). Зазвичай для протидії цьому явищу запроваджують спеціальні знижені ставки податків, або</w:t>
      </w:r>
      <w:r>
        <w:t xml:space="preserve"> повне чи часткове звільнення певного доходу від оподаткування. Найпоширенішими є такі підходи для уникнення цієї ситуації [3, 4]:</w:t>
      </w:r>
    </w:p>
    <w:p w:rsidR="00F172B9" w:rsidRDefault="00311897">
      <w:pPr>
        <w:pStyle w:val="a7"/>
        <w:framePr w:w="9082" w:h="11472" w:hRule="exact" w:wrap="around" w:vAnchor="page" w:hAnchor="page" w:x="1535" w:y="1749"/>
        <w:numPr>
          <w:ilvl w:val="0"/>
          <w:numId w:val="3"/>
        </w:numPr>
        <w:shd w:val="clear" w:color="auto" w:fill="auto"/>
        <w:spacing w:before="0" w:line="259" w:lineRule="exact"/>
        <w:ind w:left="720" w:right="20"/>
      </w:pPr>
      <w:r>
        <w:t xml:space="preserve"> система вирахування дивідендів </w:t>
      </w:r>
      <w:r>
        <w:rPr>
          <w:lang w:val="en-US" w:eastAsia="en-US" w:bidi="en-US"/>
        </w:rPr>
        <w:t xml:space="preserve">(The Dividend Deduction System), </w:t>
      </w:r>
      <w:r>
        <w:t xml:space="preserve">що передбачає зменшення бази оподаткування акціонерного </w:t>
      </w:r>
      <w:r>
        <w:t>товариства на суму дивідендів - практикується у сканди</w:t>
      </w:r>
      <w:r>
        <w:softHyphen/>
        <w:t>навських країнах;</w:t>
      </w:r>
    </w:p>
    <w:p w:rsidR="00F172B9" w:rsidRDefault="00311897">
      <w:pPr>
        <w:pStyle w:val="a7"/>
        <w:framePr w:w="9082" w:h="11472" w:hRule="exact" w:wrap="around" w:vAnchor="page" w:hAnchor="page" w:x="1535" w:y="1749"/>
        <w:numPr>
          <w:ilvl w:val="0"/>
          <w:numId w:val="3"/>
        </w:numPr>
        <w:shd w:val="clear" w:color="auto" w:fill="auto"/>
        <w:spacing w:before="0" w:line="259" w:lineRule="exact"/>
        <w:ind w:left="720" w:right="20"/>
      </w:pPr>
      <w:r>
        <w:t xml:space="preserve"> система черговості дивідендів </w:t>
      </w:r>
      <w:r>
        <w:rPr>
          <w:lang w:val="en-US" w:eastAsia="en-US" w:bidi="en-US"/>
        </w:rPr>
        <w:t xml:space="preserve">(The Dividend Imputation System) </w:t>
      </w:r>
      <w:r>
        <w:t>передбачає сплату податків як на рівні підприємства, так і на рівні акціонерів, а також надання податкового кредиту акц</w:t>
      </w:r>
      <w:r>
        <w:t>іонерам - застосовується в Новій Зеландії, Німеччині, Сінгапурі, на Мальті;</w:t>
      </w:r>
    </w:p>
    <w:p w:rsidR="00F172B9" w:rsidRDefault="00311897">
      <w:pPr>
        <w:pStyle w:val="a7"/>
        <w:framePr w:w="9082" w:h="11472" w:hRule="exact" w:wrap="around" w:vAnchor="page" w:hAnchor="page" w:x="1535" w:y="1749"/>
        <w:numPr>
          <w:ilvl w:val="0"/>
          <w:numId w:val="3"/>
        </w:numPr>
        <w:shd w:val="clear" w:color="auto" w:fill="auto"/>
        <w:spacing w:before="0" w:line="259" w:lineRule="exact"/>
        <w:ind w:left="720" w:right="20"/>
      </w:pPr>
      <w:r>
        <w:t xml:space="preserve"> система різних податкових ставок </w:t>
      </w:r>
      <w:r>
        <w:rPr>
          <w:lang w:val="en-US" w:eastAsia="en-US" w:bidi="en-US"/>
        </w:rPr>
        <w:t xml:space="preserve">(The Split Rate System) </w:t>
      </w:r>
      <w:r>
        <w:t>передбачає застосування різних відсоткових ставок для розподіленого та нерозподіленого прибутку;</w:t>
      </w:r>
    </w:p>
    <w:p w:rsidR="00F172B9" w:rsidRDefault="00311897">
      <w:pPr>
        <w:pStyle w:val="a7"/>
        <w:framePr w:w="9082" w:h="11472" w:hRule="exact" w:wrap="around" w:vAnchor="page" w:hAnchor="page" w:x="1535" w:y="1749"/>
        <w:numPr>
          <w:ilvl w:val="0"/>
          <w:numId w:val="3"/>
        </w:numPr>
        <w:shd w:val="clear" w:color="auto" w:fill="auto"/>
        <w:spacing w:before="0" w:line="259" w:lineRule="exact"/>
        <w:ind w:left="720" w:right="20"/>
      </w:pPr>
      <w:r>
        <w:t xml:space="preserve"> система звільнення дивід</w:t>
      </w:r>
      <w:r>
        <w:t xml:space="preserve">ендів </w:t>
      </w:r>
      <w:r>
        <w:rPr>
          <w:lang w:val="en-US" w:eastAsia="en-US" w:bidi="en-US"/>
        </w:rPr>
        <w:t xml:space="preserve">(The Dividend Exemption System) </w:t>
      </w:r>
      <w:r>
        <w:t>передбачає звільнення акціонерів від сплати податку на дивіденди - використовується в Австралії, Бельгії;</w:t>
      </w:r>
    </w:p>
    <w:p w:rsidR="00F172B9" w:rsidRDefault="00311897">
      <w:pPr>
        <w:pStyle w:val="a7"/>
        <w:framePr w:w="9082" w:h="11472" w:hRule="exact" w:wrap="around" w:vAnchor="page" w:hAnchor="page" w:x="1535" w:y="1749"/>
        <w:numPr>
          <w:ilvl w:val="0"/>
          <w:numId w:val="3"/>
        </w:numPr>
        <w:shd w:val="clear" w:color="auto" w:fill="auto"/>
        <w:spacing w:before="0" w:line="259" w:lineRule="exact"/>
        <w:ind w:left="720" w:right="20"/>
      </w:pPr>
      <w:r>
        <w:t xml:space="preserve"> система повної інтеграції </w:t>
      </w:r>
      <w:r>
        <w:rPr>
          <w:lang w:val="en-US" w:eastAsia="en-US" w:bidi="en-US"/>
        </w:rPr>
        <w:t xml:space="preserve">(Full Integration) </w:t>
      </w:r>
      <w:r>
        <w:t>передбачає сплачення податків не на рівні підпри</w:t>
      </w:r>
      <w:r>
        <w:softHyphen/>
        <w:t>ємства, а на рівн</w:t>
      </w:r>
      <w:r>
        <w:t xml:space="preserve">і акціонерів - за таким принципом побудовані </w:t>
      </w:r>
      <w:r>
        <w:rPr>
          <w:lang w:val="en-US" w:eastAsia="en-US" w:bidi="en-US"/>
        </w:rPr>
        <w:t>S</w:t>
      </w:r>
      <w:r>
        <w:t>-компанії США.</w:t>
      </w:r>
    </w:p>
    <w:p w:rsidR="00F172B9" w:rsidRDefault="00311897">
      <w:pPr>
        <w:pStyle w:val="a7"/>
        <w:framePr w:w="9082" w:h="11472" w:hRule="exact" w:wrap="around" w:vAnchor="page" w:hAnchor="page" w:x="1535" w:y="1749"/>
        <w:shd w:val="clear" w:color="auto" w:fill="auto"/>
        <w:spacing w:before="0" w:line="259" w:lineRule="exact"/>
        <w:ind w:left="20" w:right="20" w:firstLine="280"/>
      </w:pPr>
      <w:r>
        <w:t>Аналогічна ситуація виникає при оподаткуванні одного і того ж об’єкта на загальнодержавному і місцевому рівнях.</w:t>
      </w:r>
    </w:p>
    <w:p w:rsidR="00F172B9" w:rsidRDefault="00311897">
      <w:pPr>
        <w:pStyle w:val="a7"/>
        <w:framePr w:w="9082" w:h="11472" w:hRule="exact" w:wrap="around" w:vAnchor="page" w:hAnchor="page" w:x="1535" w:y="1749"/>
        <w:shd w:val="clear" w:color="auto" w:fill="auto"/>
        <w:spacing w:before="0" w:line="259" w:lineRule="exact"/>
        <w:ind w:left="20" w:right="20" w:firstLine="280"/>
      </w:pPr>
      <w:r>
        <w:t xml:space="preserve">Також відомою є ситуація нарахування ПДВ на суму, що вже включає акцизний податок. </w:t>
      </w:r>
      <w:r>
        <w:t>Таке подвійне оподаткування є внутрішнім, і держава самостійно в односторонньому порядку може вирішувати питання зменшення ставки податків або здійснювати інші заходи, вносячи зміни до націо</w:t>
      </w:r>
      <w:r>
        <w:softHyphen/>
        <w:t>нального законодавства [6].</w:t>
      </w:r>
    </w:p>
    <w:p w:rsidR="00F172B9" w:rsidRDefault="00311897">
      <w:pPr>
        <w:pStyle w:val="a7"/>
        <w:framePr w:w="9082" w:h="11472" w:hRule="exact" w:wrap="around" w:vAnchor="page" w:hAnchor="page" w:x="1535" w:y="1749"/>
        <w:shd w:val="clear" w:color="auto" w:fill="auto"/>
        <w:spacing w:before="0" w:line="259" w:lineRule="exact"/>
        <w:ind w:left="20" w:right="20" w:firstLine="280"/>
      </w:pPr>
      <w:r>
        <w:t xml:space="preserve">Вважається, що одностороннє усунення </w:t>
      </w:r>
      <w:r>
        <w:t xml:space="preserve">подвійного оподаткування є найпростішим способом регулювання, оскільки в цьому випадку бере участь тільки одна сторона, але водночас таке вирішення проблеми може призвести до невиправданих втрат із бюджету й різноманітних зловживань з боку недобросовісних </w:t>
      </w:r>
      <w:r>
        <w:t>платників податків.</w:t>
      </w:r>
    </w:p>
    <w:p w:rsidR="00F172B9" w:rsidRDefault="00311897">
      <w:pPr>
        <w:pStyle w:val="a7"/>
        <w:framePr w:w="9082" w:h="11472" w:hRule="exact" w:wrap="around" w:vAnchor="page" w:hAnchor="page" w:x="1535" w:y="1749"/>
        <w:shd w:val="clear" w:color="auto" w:fill="auto"/>
        <w:spacing w:before="0" w:line="259" w:lineRule="exact"/>
        <w:ind w:left="20" w:right="20" w:firstLine="280"/>
      </w:pPr>
      <w:r>
        <w:t>На нашу думку, варто також звернути увагу на протилежну ситуацію - випадки подвійного неоподаткування, тобто такі випадки, коли податкові правила двох країн у поєднанні призводять до того, що дохід взагалі не оподатковується. Наприклад,</w:t>
      </w:r>
      <w:r>
        <w:t xml:space="preserve"> фінансові інструменти, які включають характеристики як боргових цінних паперів, так і інструментів власності (гібридні фінансові інстру</w:t>
      </w:r>
      <w:r>
        <w:softHyphen/>
        <w:t>менти - привілейовані акції та синдиковані кредити) можуть не включатися до бази оподаткування в одній державі, а також</w:t>
      </w:r>
      <w:r>
        <w:t xml:space="preserve"> не оподатковуватися в іншій державі за рахунок існування відповідної конвенції [2]. Ця ситуація є неприпустимою, оскільки ставить платників податків в неоднакові умови і надає порівняльні переваги тим, хто використовує привілеї міжнародних договорів-конве</w:t>
      </w:r>
      <w:r>
        <w:t>нцій.</w:t>
      </w:r>
    </w:p>
    <w:p w:rsidR="00F172B9" w:rsidRDefault="00311897">
      <w:pPr>
        <w:pStyle w:val="a7"/>
        <w:framePr w:w="9082" w:h="11472" w:hRule="exact" w:wrap="around" w:vAnchor="page" w:hAnchor="page" w:x="1535" w:y="1749"/>
        <w:shd w:val="clear" w:color="auto" w:fill="auto"/>
        <w:spacing w:before="0" w:line="259" w:lineRule="exact"/>
        <w:ind w:left="20" w:right="20" w:firstLine="280"/>
      </w:pPr>
      <w:r>
        <w:t>Аналізуючи умови виникнення подвійного оподаткування, варто зазначити, що на даний час в Україні впроваджено недостатньо практичних підходів щодо їх недопущення.</w:t>
      </w:r>
    </w:p>
    <w:p w:rsidR="00F172B9" w:rsidRDefault="00311897">
      <w:pPr>
        <w:pStyle w:val="a7"/>
        <w:framePr w:w="9082" w:h="11472" w:hRule="exact" w:wrap="around" w:vAnchor="page" w:hAnchor="page" w:x="1535" w:y="1749"/>
        <w:shd w:val="clear" w:color="auto" w:fill="auto"/>
        <w:spacing w:before="0" w:line="259" w:lineRule="exact"/>
        <w:ind w:left="20" w:right="20" w:firstLine="280"/>
      </w:pPr>
      <w:r>
        <w:t>При формуванні фіскальної політики уряду України необхідно як вносити зміни до чинного з</w:t>
      </w:r>
      <w:r>
        <w:t>аконодавства, зокрема уточнити статус резидентства, так і активізувати діяльність щодо запобігання подвійному оподаткуванню на міжнародному рівні. Для цього може бути доцільним розширення співробітництва між податковими органами різних країн, яке дасть змо</w:t>
      </w:r>
      <w:r>
        <w:t>гу швидше вирішити проблеми для платників податків, не звертаючись до формальних процедур та компетентних органів.</w:t>
      </w:r>
    </w:p>
    <w:p w:rsidR="00F172B9" w:rsidRDefault="00311897">
      <w:pPr>
        <w:pStyle w:val="a5"/>
        <w:framePr w:wrap="around" w:vAnchor="page" w:hAnchor="page" w:x="1506" w:y="15568"/>
        <w:shd w:val="clear" w:color="auto" w:fill="auto"/>
        <w:spacing w:before="0" w:line="170" w:lineRule="exact"/>
        <w:ind w:left="20"/>
      </w:pPr>
      <w:r>
        <w:t>146</w:t>
      </w:r>
    </w:p>
    <w:p w:rsidR="00F172B9" w:rsidRDefault="00311897">
      <w:pPr>
        <w:pStyle w:val="32"/>
        <w:framePr w:wrap="around" w:vAnchor="page" w:hAnchor="page" w:x="8428" w:y="15574"/>
        <w:shd w:val="clear" w:color="auto" w:fill="auto"/>
        <w:spacing w:line="130" w:lineRule="exact"/>
        <w:ind w:left="20"/>
      </w:pPr>
      <w:r>
        <w:t>Наука молода № 19, 2013 р.</w:t>
      </w:r>
    </w:p>
    <w:p w:rsidR="00F172B9" w:rsidRDefault="00F172B9">
      <w:pPr>
        <w:rPr>
          <w:sz w:val="2"/>
          <w:szCs w:val="2"/>
        </w:rPr>
        <w:sectPr w:rsidR="00F172B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172B9" w:rsidRDefault="00311897">
      <w:pPr>
        <w:pStyle w:val="a5"/>
        <w:framePr w:wrap="around" w:vAnchor="page" w:hAnchor="page" w:x="5260" w:y="1032"/>
        <w:shd w:val="clear" w:color="auto" w:fill="auto"/>
        <w:spacing w:before="0" w:line="170" w:lineRule="exact"/>
        <w:ind w:left="20"/>
      </w:pPr>
      <w:r>
        <w:lastRenderedPageBreak/>
        <w:t>Перспективи розвитку фінансово-кредитної системи</w:t>
      </w:r>
    </w:p>
    <w:p w:rsidR="00F172B9" w:rsidRDefault="00311897">
      <w:pPr>
        <w:pStyle w:val="50"/>
        <w:framePr w:w="8880" w:h="6237" w:hRule="exact" w:wrap="around" w:vAnchor="page" w:hAnchor="page" w:x="1636" w:y="1925"/>
        <w:shd w:val="clear" w:color="auto" w:fill="auto"/>
        <w:spacing w:after="148" w:line="180" w:lineRule="exact"/>
        <w:ind w:left="260"/>
      </w:pPr>
      <w:r>
        <w:t>Література</w:t>
      </w:r>
    </w:p>
    <w:p w:rsidR="00F172B9" w:rsidRDefault="00311897">
      <w:pPr>
        <w:pStyle w:val="30"/>
        <w:framePr w:w="8880" w:h="6237" w:hRule="exact" w:wrap="around" w:vAnchor="page" w:hAnchor="page" w:x="1636" w:y="1925"/>
        <w:numPr>
          <w:ilvl w:val="0"/>
          <w:numId w:val="4"/>
        </w:numPr>
        <w:shd w:val="clear" w:color="auto" w:fill="auto"/>
        <w:tabs>
          <w:tab w:val="left" w:pos="418"/>
        </w:tabs>
        <w:spacing w:before="0" w:after="0" w:line="250" w:lineRule="exact"/>
        <w:ind w:left="500" w:right="40" w:hanging="400"/>
      </w:pPr>
      <w:r>
        <w:t xml:space="preserve">Deutsch R. Principles and Practice of Double Taxation Agreements: A Question and Answer Approach </w:t>
      </w:r>
      <w:r>
        <w:rPr>
          <w:lang w:val="uk-UA" w:eastAsia="uk-UA" w:bidi="uk-UA"/>
        </w:rPr>
        <w:t xml:space="preserve">/ </w:t>
      </w:r>
      <w:r>
        <w:t xml:space="preserve">Robert Deutsch, Roisin Arkwright, Daniela Chiew </w:t>
      </w:r>
      <w:r>
        <w:rPr>
          <w:lang w:val="uk-UA" w:eastAsia="uk-UA" w:bidi="uk-UA"/>
        </w:rPr>
        <w:t xml:space="preserve">// </w:t>
      </w:r>
      <w:r>
        <w:t>BNA International Inc. - 2008. - 420 p.</w:t>
      </w:r>
    </w:p>
    <w:p w:rsidR="00F172B9" w:rsidRDefault="00311897">
      <w:pPr>
        <w:pStyle w:val="30"/>
        <w:framePr w:w="8880" w:h="6237" w:hRule="exact" w:wrap="around" w:vAnchor="page" w:hAnchor="page" w:x="1636" w:y="1925"/>
        <w:numPr>
          <w:ilvl w:val="0"/>
          <w:numId w:val="4"/>
        </w:numPr>
        <w:shd w:val="clear" w:color="auto" w:fill="auto"/>
        <w:tabs>
          <w:tab w:val="left" w:pos="418"/>
        </w:tabs>
        <w:spacing w:before="0" w:after="0" w:line="250" w:lineRule="exact"/>
        <w:ind w:left="500" w:right="40" w:hanging="400"/>
      </w:pPr>
      <w:r>
        <w:t>Factual examples and possible ways to tackle double non-taxation c</w:t>
      </w:r>
      <w:r>
        <w:t xml:space="preserve">ases </w:t>
      </w:r>
      <w:r>
        <w:rPr>
          <w:lang w:val="uk-UA" w:eastAsia="uk-UA" w:bidi="uk-UA"/>
        </w:rPr>
        <w:t>/</w:t>
      </w:r>
      <w:r>
        <w:t>European Commission. Taxation and Customs Union. Staff working paper. - 2012. - 15 p.</w:t>
      </w:r>
    </w:p>
    <w:p w:rsidR="00F172B9" w:rsidRDefault="00311897">
      <w:pPr>
        <w:pStyle w:val="30"/>
        <w:framePr w:w="8880" w:h="6237" w:hRule="exact" w:wrap="around" w:vAnchor="page" w:hAnchor="page" w:x="1636" w:y="1925"/>
        <w:numPr>
          <w:ilvl w:val="0"/>
          <w:numId w:val="4"/>
        </w:numPr>
        <w:shd w:val="clear" w:color="auto" w:fill="auto"/>
        <w:tabs>
          <w:tab w:val="left" w:pos="418"/>
        </w:tabs>
        <w:spacing w:before="0" w:after="0" w:line="250" w:lineRule="exact"/>
        <w:ind w:left="500" w:right="40" w:hanging="400"/>
      </w:pPr>
      <w:r>
        <w:t xml:space="preserve">Gilders F. Understanding Taxation Law - An Interactive Approach </w:t>
      </w:r>
      <w:r>
        <w:rPr>
          <w:lang w:val="uk-UA" w:eastAsia="uk-UA" w:bidi="uk-UA"/>
        </w:rPr>
        <w:t xml:space="preserve">/ </w:t>
      </w:r>
      <w:r>
        <w:t xml:space="preserve">Frank Gilders, John Taylor, Grant Richardson, Michael Walpole //Sydney, Lexis Nexis, 2002. - 1000 </w:t>
      </w:r>
      <w:r>
        <w:t>p.</w:t>
      </w:r>
    </w:p>
    <w:p w:rsidR="00F172B9" w:rsidRDefault="00311897">
      <w:pPr>
        <w:pStyle w:val="30"/>
        <w:framePr w:w="8880" w:h="6237" w:hRule="exact" w:wrap="around" w:vAnchor="page" w:hAnchor="page" w:x="1636" w:y="1925"/>
        <w:numPr>
          <w:ilvl w:val="0"/>
          <w:numId w:val="4"/>
        </w:numPr>
        <w:shd w:val="clear" w:color="auto" w:fill="auto"/>
        <w:tabs>
          <w:tab w:val="left" w:pos="418"/>
        </w:tabs>
        <w:spacing w:before="0" w:after="0" w:line="250" w:lineRule="exact"/>
        <w:ind w:left="500" w:right="40" w:hanging="400"/>
      </w:pPr>
      <w:r>
        <w:t xml:space="preserve">Kesner-Skreb M. Dvostruko oporezivanje </w:t>
      </w:r>
      <w:r>
        <w:rPr>
          <w:lang w:val="uk-UA" w:eastAsia="uk-UA" w:bidi="uk-UA"/>
        </w:rPr>
        <w:t xml:space="preserve">/ </w:t>
      </w:r>
      <w:r>
        <w:t xml:space="preserve">Marina Kesner-Skreb </w:t>
      </w:r>
      <w:r>
        <w:rPr>
          <w:lang w:val="uk-UA" w:eastAsia="uk-UA" w:bidi="uk-UA"/>
        </w:rPr>
        <w:t xml:space="preserve">// </w:t>
      </w:r>
      <w:r>
        <w:t>Financijska teorija i praksa, 2005. - № 29 (4). - S. 443-444.</w:t>
      </w:r>
    </w:p>
    <w:p w:rsidR="00F172B9" w:rsidRDefault="00311897">
      <w:pPr>
        <w:pStyle w:val="30"/>
        <w:framePr w:w="8880" w:h="6237" w:hRule="exact" w:wrap="around" w:vAnchor="page" w:hAnchor="page" w:x="1636" w:y="1925"/>
        <w:numPr>
          <w:ilvl w:val="0"/>
          <w:numId w:val="4"/>
        </w:numPr>
        <w:shd w:val="clear" w:color="auto" w:fill="auto"/>
        <w:tabs>
          <w:tab w:val="left" w:pos="418"/>
        </w:tabs>
        <w:spacing w:before="0" w:after="0" w:line="250" w:lineRule="exact"/>
        <w:ind w:left="500" w:right="40" w:hanging="400"/>
      </w:pPr>
      <w:r>
        <w:t xml:space="preserve">Zbudniewek A. Polskie umowy o unikaniu podwojnego opodatkowania </w:t>
      </w:r>
      <w:r>
        <w:rPr>
          <w:lang w:val="uk-UA" w:eastAsia="uk-UA" w:bidi="uk-UA"/>
        </w:rPr>
        <w:t xml:space="preserve">/ </w:t>
      </w:r>
      <w:r>
        <w:t xml:space="preserve">Agnieszka Zbudnie- wek </w:t>
      </w:r>
      <w:r>
        <w:rPr>
          <w:lang w:val="uk-UA" w:eastAsia="uk-UA" w:bidi="uk-UA"/>
        </w:rPr>
        <w:t xml:space="preserve">// </w:t>
      </w:r>
      <w:r>
        <w:t>Studia i prace Kolegium zarzadzania</w:t>
      </w:r>
      <w:r>
        <w:t xml:space="preserve"> i finansow. - 2006. - Nr. 75. - P. 119-139.</w:t>
      </w:r>
    </w:p>
    <w:p w:rsidR="00F172B9" w:rsidRDefault="00311897">
      <w:pPr>
        <w:pStyle w:val="30"/>
        <w:framePr w:w="8880" w:h="6237" w:hRule="exact" w:wrap="around" w:vAnchor="page" w:hAnchor="page" w:x="1636" w:y="1925"/>
        <w:numPr>
          <w:ilvl w:val="0"/>
          <w:numId w:val="4"/>
        </w:numPr>
        <w:shd w:val="clear" w:color="auto" w:fill="auto"/>
        <w:tabs>
          <w:tab w:val="left" w:pos="418"/>
        </w:tabs>
        <w:spacing w:before="0" w:after="0" w:line="250" w:lineRule="exact"/>
        <w:ind w:left="500" w:right="40" w:hanging="400"/>
      </w:pPr>
      <w:r>
        <w:rPr>
          <w:lang w:val="uk-UA" w:eastAsia="uk-UA" w:bidi="uk-UA"/>
        </w:rPr>
        <w:t>Дем’янчук Ю. Г. Поняття та ознаки подвійного оподаткування / Ю. Г. Дем’янчук // Держава і право. Юридичні і політичні науки. - 2010. - Вип. 47. - С. 279-284.</w:t>
      </w:r>
    </w:p>
    <w:p w:rsidR="00F172B9" w:rsidRDefault="00311897">
      <w:pPr>
        <w:pStyle w:val="30"/>
        <w:framePr w:w="8880" w:h="6237" w:hRule="exact" w:wrap="around" w:vAnchor="page" w:hAnchor="page" w:x="1636" w:y="1925"/>
        <w:numPr>
          <w:ilvl w:val="0"/>
          <w:numId w:val="4"/>
        </w:numPr>
        <w:shd w:val="clear" w:color="auto" w:fill="auto"/>
        <w:tabs>
          <w:tab w:val="left" w:pos="418"/>
        </w:tabs>
        <w:spacing w:before="0" w:after="0" w:line="250" w:lineRule="exact"/>
        <w:ind w:left="500" w:right="40" w:hanging="400"/>
      </w:pPr>
      <w:r>
        <w:rPr>
          <w:lang w:val="uk-UA" w:eastAsia="uk-UA" w:bidi="uk-UA"/>
        </w:rPr>
        <w:t xml:space="preserve">[Електронний ресурс]. - Режим доступу: </w:t>
      </w:r>
      <w:hyperlink r:id="rId7" w:history="1">
        <w:r>
          <w:rPr>
            <w:rStyle w:val="a3"/>
          </w:rPr>
          <w:t>http://www.rbc. ua/rus/top/show/-otmena-dvoynogo-</w:t>
        </w:r>
      </w:hyperlink>
      <w:r>
        <w:t xml:space="preserve"> nalogooblozheniya-mezhdu-ukrainoy-i-kiprom-090220</w:t>
      </w:r>
      <w:r>
        <w:rPr>
          <w:lang w:val="uk-UA" w:eastAsia="uk-UA" w:bidi="uk-UA"/>
        </w:rPr>
        <w:t>13113100</w:t>
      </w:r>
    </w:p>
    <w:p w:rsidR="00F172B9" w:rsidRDefault="00311897">
      <w:pPr>
        <w:pStyle w:val="30"/>
        <w:framePr w:w="8880" w:h="6237" w:hRule="exact" w:wrap="around" w:vAnchor="page" w:hAnchor="page" w:x="1636" w:y="1925"/>
        <w:numPr>
          <w:ilvl w:val="0"/>
          <w:numId w:val="4"/>
        </w:numPr>
        <w:shd w:val="clear" w:color="auto" w:fill="auto"/>
        <w:tabs>
          <w:tab w:val="left" w:pos="418"/>
        </w:tabs>
        <w:spacing w:before="0" w:after="0" w:line="250" w:lineRule="exact"/>
        <w:ind w:left="500" w:right="40" w:hanging="400"/>
      </w:pPr>
      <w:r>
        <w:rPr>
          <w:lang w:val="uk-UA" w:eastAsia="uk-UA" w:bidi="uk-UA"/>
        </w:rPr>
        <w:t xml:space="preserve">Інформаційний сайт ДПА України [Електронний ресурс]. - Режим доступу: </w:t>
      </w:r>
      <w:hyperlink r:id="rId8" w:history="1">
        <w:r>
          <w:rPr>
            <w:rStyle w:val="a3"/>
          </w:rPr>
          <w:t>http://sts. gov. ua/</w:t>
        </w:r>
      </w:hyperlink>
      <w:r>
        <w:t xml:space="preserve"> diyalnist-dpa-ukraini/mijnarodni-podatkovi-vidno/chinni-dvostoronni-mijuryado/</w:t>
      </w:r>
    </w:p>
    <w:p w:rsidR="00F172B9" w:rsidRDefault="00311897">
      <w:pPr>
        <w:pStyle w:val="30"/>
        <w:framePr w:w="8880" w:h="6237" w:hRule="exact" w:wrap="around" w:vAnchor="page" w:hAnchor="page" w:x="1636" w:y="1925"/>
        <w:numPr>
          <w:ilvl w:val="0"/>
          <w:numId w:val="4"/>
        </w:numPr>
        <w:shd w:val="clear" w:color="auto" w:fill="auto"/>
        <w:tabs>
          <w:tab w:val="left" w:pos="418"/>
        </w:tabs>
        <w:spacing w:before="0" w:after="0" w:line="250" w:lineRule="exact"/>
        <w:ind w:left="500" w:right="40" w:hanging="400"/>
      </w:pPr>
      <w:r>
        <w:rPr>
          <w:lang w:val="uk-UA" w:eastAsia="uk-UA" w:bidi="uk-UA"/>
        </w:rPr>
        <w:t xml:space="preserve">Податковий кодекс України від 02.12.2010 № </w:t>
      </w:r>
      <w:r>
        <w:t xml:space="preserve">2755-VI </w:t>
      </w:r>
      <w:r>
        <w:rPr>
          <w:lang w:val="uk-UA" w:eastAsia="uk-UA" w:bidi="uk-UA"/>
        </w:rPr>
        <w:t>[Електронний ресурс]. - Режим до</w:t>
      </w:r>
      <w:r>
        <w:rPr>
          <w:lang w:val="uk-UA" w:eastAsia="uk-UA" w:bidi="uk-UA"/>
        </w:rPr>
        <w:softHyphen/>
        <w:t xml:space="preserve">ступу : </w:t>
      </w:r>
      <w:hyperlink r:id="rId9" w:history="1">
        <w:r>
          <w:rPr>
            <w:rStyle w:val="a3"/>
          </w:rPr>
          <w:t>http://zakon2.rada.gov.ua/laws/show/2755-17</w:t>
        </w:r>
      </w:hyperlink>
    </w:p>
    <w:p w:rsidR="00F172B9" w:rsidRDefault="00311897">
      <w:pPr>
        <w:pStyle w:val="30"/>
        <w:framePr w:w="8880" w:h="6237" w:hRule="exact" w:wrap="around" w:vAnchor="page" w:hAnchor="page" w:x="1636" w:y="1925"/>
        <w:numPr>
          <w:ilvl w:val="0"/>
          <w:numId w:val="4"/>
        </w:numPr>
        <w:shd w:val="clear" w:color="auto" w:fill="auto"/>
        <w:tabs>
          <w:tab w:val="left" w:pos="418"/>
        </w:tabs>
        <w:spacing w:before="0" w:after="0" w:line="250" w:lineRule="exact"/>
        <w:ind w:left="500" w:right="40"/>
        <w:jc w:val="left"/>
      </w:pPr>
      <w:r>
        <w:rPr>
          <w:lang w:val="uk-UA" w:eastAsia="uk-UA" w:bidi="uk-UA"/>
        </w:rPr>
        <w:t>Путренко А. М. Роль міжнародних договорів в усуненні подвійного оподаткування в Укра</w:t>
      </w:r>
      <w:r>
        <w:rPr>
          <w:lang w:val="uk-UA" w:eastAsia="uk-UA" w:bidi="uk-UA"/>
        </w:rPr>
        <w:softHyphen/>
        <w:t>їні /А. М. Путренко //Фінансове право. - 2011. - № 2(16). - С. 16-18.</w:t>
      </w:r>
    </w:p>
    <w:p w:rsidR="00F172B9" w:rsidRDefault="00311897">
      <w:pPr>
        <w:pStyle w:val="30"/>
        <w:framePr w:w="8880" w:h="6237" w:hRule="exact" w:wrap="around" w:vAnchor="page" w:hAnchor="page" w:x="1636" w:y="1925"/>
        <w:numPr>
          <w:ilvl w:val="0"/>
          <w:numId w:val="4"/>
        </w:numPr>
        <w:shd w:val="clear" w:color="auto" w:fill="auto"/>
        <w:tabs>
          <w:tab w:val="left" w:pos="418"/>
        </w:tabs>
        <w:spacing w:before="0" w:after="0" w:line="250" w:lineRule="exact"/>
        <w:ind w:left="500" w:right="40"/>
        <w:jc w:val="left"/>
      </w:pPr>
      <w:r>
        <w:rPr>
          <w:lang w:val="uk-UA" w:eastAsia="uk-UA" w:bidi="uk-UA"/>
        </w:rPr>
        <w:t xml:space="preserve">Юлдашев О. X. Міжнародне приватне право: </w:t>
      </w:r>
      <w:r>
        <w:rPr>
          <w:lang w:val="uk-UA" w:eastAsia="uk-UA" w:bidi="uk-UA"/>
        </w:rPr>
        <w:t>теоретичні та прикладні аспекти / О. X. Юл- дашев. - К.: МАУП, 2004. - С. 553-567.</w:t>
      </w:r>
    </w:p>
    <w:p w:rsidR="00F172B9" w:rsidRDefault="00311897">
      <w:pPr>
        <w:pStyle w:val="32"/>
        <w:framePr w:wrap="around" w:vAnchor="page" w:hAnchor="page" w:x="1396" w:y="15288"/>
        <w:shd w:val="clear" w:color="auto" w:fill="auto"/>
        <w:spacing w:line="130" w:lineRule="exact"/>
        <w:ind w:left="20"/>
      </w:pPr>
      <w:r>
        <w:t>Наука молода № 19, 2013 р.</w:t>
      </w:r>
    </w:p>
    <w:p w:rsidR="00F172B9" w:rsidRDefault="00311897">
      <w:pPr>
        <w:pStyle w:val="a5"/>
        <w:framePr w:wrap="around" w:vAnchor="page" w:hAnchor="page" w:x="10180" w:y="15311"/>
        <w:shd w:val="clear" w:color="auto" w:fill="auto"/>
        <w:spacing w:before="0" w:line="170" w:lineRule="exact"/>
        <w:ind w:left="20"/>
      </w:pPr>
      <w:r>
        <w:t>147</w:t>
      </w:r>
    </w:p>
    <w:p w:rsidR="00F172B9" w:rsidRDefault="00F172B9">
      <w:pPr>
        <w:rPr>
          <w:sz w:val="2"/>
          <w:szCs w:val="2"/>
        </w:rPr>
      </w:pPr>
    </w:p>
    <w:sectPr w:rsidR="00F172B9" w:rsidSect="00F172B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897" w:rsidRDefault="00311897" w:rsidP="00F172B9">
      <w:r>
        <w:separator/>
      </w:r>
    </w:p>
  </w:endnote>
  <w:endnote w:type="continuationSeparator" w:id="1">
    <w:p w:rsidR="00311897" w:rsidRDefault="00311897" w:rsidP="00F17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897" w:rsidRDefault="00311897"/>
  </w:footnote>
  <w:footnote w:type="continuationSeparator" w:id="1">
    <w:p w:rsidR="00311897" w:rsidRDefault="0031189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C2D37"/>
    <w:multiLevelType w:val="multilevel"/>
    <w:tmpl w:val="5A40E4B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FD2CE8"/>
    <w:multiLevelType w:val="multilevel"/>
    <w:tmpl w:val="EF88D84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8A3063"/>
    <w:multiLevelType w:val="multilevel"/>
    <w:tmpl w:val="1D8C0CA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B53984"/>
    <w:multiLevelType w:val="multilevel"/>
    <w:tmpl w:val="7AAE030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172B9"/>
    <w:rsid w:val="00311897"/>
    <w:rsid w:val="00EC7610"/>
    <w:rsid w:val="00F1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72B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72B9"/>
    <w:rPr>
      <w:color w:val="0066CC"/>
      <w:u w:val="single"/>
    </w:rPr>
  </w:style>
  <w:style w:type="character" w:customStyle="1" w:styleId="2">
    <w:name w:val="Колонтитул (2)_"/>
    <w:basedOn w:val="a0"/>
    <w:link w:val="20"/>
    <w:rsid w:val="00F172B9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a4">
    <w:name w:val="Колонтитул_"/>
    <w:basedOn w:val="a0"/>
    <w:link w:val="a5"/>
    <w:rsid w:val="00F172B9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F172B9"/>
    <w:rPr>
      <w:rFonts w:ascii="Arial" w:eastAsia="Arial" w:hAnsi="Arial" w:cs="Arial"/>
      <w:b/>
      <w:bCs/>
      <w:i/>
      <w:iCs/>
      <w:smallCaps w:val="0"/>
      <w:strike w:val="0"/>
      <w:spacing w:val="-3"/>
      <w:sz w:val="18"/>
      <w:szCs w:val="18"/>
      <w:u w:val="none"/>
    </w:rPr>
  </w:style>
  <w:style w:type="character" w:customStyle="1" w:styleId="21">
    <w:name w:val="Основний текст (2)_"/>
    <w:basedOn w:val="a0"/>
    <w:link w:val="22"/>
    <w:rsid w:val="00F172B9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3">
    <w:name w:val="Основний текст (3)_"/>
    <w:basedOn w:val="a0"/>
    <w:link w:val="30"/>
    <w:rsid w:val="00F172B9"/>
    <w:rPr>
      <w:rFonts w:ascii="Arial" w:eastAsia="Arial" w:hAnsi="Arial" w:cs="Arial"/>
      <w:b w:val="0"/>
      <w:bCs w:val="0"/>
      <w:i/>
      <w:iCs/>
      <w:smallCaps w:val="0"/>
      <w:strike w:val="0"/>
      <w:spacing w:val="-1"/>
      <w:sz w:val="17"/>
      <w:szCs w:val="17"/>
      <w:u w:val="none"/>
      <w:lang w:val="en-US" w:eastAsia="en-US" w:bidi="en-US"/>
    </w:rPr>
  </w:style>
  <w:style w:type="character" w:customStyle="1" w:styleId="30pt">
    <w:name w:val="Основний текст (3) + Не курсив;Інтервал 0 pt"/>
    <w:basedOn w:val="3"/>
    <w:rsid w:val="00F172B9"/>
    <w:rPr>
      <w:i/>
      <w:iCs/>
      <w:color w:val="000000"/>
      <w:spacing w:val="3"/>
      <w:w w:val="100"/>
      <w:position w:val="0"/>
      <w:lang w:val="uk-UA" w:eastAsia="uk-UA" w:bidi="uk-UA"/>
    </w:rPr>
  </w:style>
  <w:style w:type="character" w:customStyle="1" w:styleId="a6">
    <w:name w:val="Основний текст_"/>
    <w:basedOn w:val="a0"/>
    <w:link w:val="a7"/>
    <w:rsid w:val="00F172B9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4">
    <w:name w:val="Основний текст (4)_"/>
    <w:basedOn w:val="a0"/>
    <w:link w:val="40"/>
    <w:rsid w:val="00F172B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3"/>
      <w:sz w:val="13"/>
      <w:szCs w:val="13"/>
      <w:u w:val="none"/>
    </w:rPr>
  </w:style>
  <w:style w:type="character" w:customStyle="1" w:styleId="31">
    <w:name w:val="Колонтитул (3)_"/>
    <w:basedOn w:val="a0"/>
    <w:link w:val="32"/>
    <w:rsid w:val="00F172B9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3"/>
      <w:szCs w:val="13"/>
      <w:u w:val="none"/>
    </w:rPr>
  </w:style>
  <w:style w:type="character" w:customStyle="1" w:styleId="5">
    <w:name w:val="Основний текст (5)_"/>
    <w:basedOn w:val="a0"/>
    <w:link w:val="50"/>
    <w:rsid w:val="00F172B9"/>
    <w:rPr>
      <w:rFonts w:ascii="Arial" w:eastAsia="Arial" w:hAnsi="Arial" w:cs="Arial"/>
      <w:b/>
      <w:bCs/>
      <w:i/>
      <w:iCs/>
      <w:smallCaps w:val="0"/>
      <w:strike w:val="0"/>
      <w:spacing w:val="-3"/>
      <w:sz w:val="18"/>
      <w:szCs w:val="18"/>
      <w:u w:val="none"/>
    </w:rPr>
  </w:style>
  <w:style w:type="paragraph" w:customStyle="1" w:styleId="20">
    <w:name w:val="Колонтитул (2)"/>
    <w:basedOn w:val="a"/>
    <w:link w:val="2"/>
    <w:rsid w:val="00F172B9"/>
    <w:pPr>
      <w:shd w:val="clear" w:color="auto" w:fill="FFFFFF"/>
      <w:spacing w:after="60" w:line="0" w:lineRule="atLeast"/>
    </w:pPr>
    <w:rPr>
      <w:rFonts w:ascii="Garamond" w:eastAsia="Garamond" w:hAnsi="Garamond" w:cs="Garamond"/>
      <w:spacing w:val="3"/>
      <w:sz w:val="16"/>
      <w:szCs w:val="16"/>
    </w:rPr>
  </w:style>
  <w:style w:type="paragraph" w:customStyle="1" w:styleId="a5">
    <w:name w:val="Колонтитул"/>
    <w:basedOn w:val="a"/>
    <w:link w:val="a4"/>
    <w:rsid w:val="00F172B9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3"/>
      <w:sz w:val="17"/>
      <w:szCs w:val="17"/>
    </w:rPr>
  </w:style>
  <w:style w:type="paragraph" w:customStyle="1" w:styleId="10">
    <w:name w:val="Заголовок №1"/>
    <w:basedOn w:val="a"/>
    <w:link w:val="1"/>
    <w:rsid w:val="00F172B9"/>
    <w:pPr>
      <w:shd w:val="clear" w:color="auto" w:fill="FFFFFF"/>
      <w:spacing w:after="480" w:line="0" w:lineRule="atLeast"/>
      <w:jc w:val="right"/>
      <w:outlineLvl w:val="0"/>
    </w:pPr>
    <w:rPr>
      <w:rFonts w:ascii="Arial" w:eastAsia="Arial" w:hAnsi="Arial" w:cs="Arial"/>
      <w:b/>
      <w:bCs/>
      <w:i/>
      <w:iCs/>
      <w:spacing w:val="-3"/>
      <w:sz w:val="18"/>
      <w:szCs w:val="18"/>
    </w:rPr>
  </w:style>
  <w:style w:type="paragraph" w:customStyle="1" w:styleId="22">
    <w:name w:val="Основний текст (2)"/>
    <w:basedOn w:val="a"/>
    <w:link w:val="21"/>
    <w:rsid w:val="00F172B9"/>
    <w:pPr>
      <w:shd w:val="clear" w:color="auto" w:fill="FFFFFF"/>
      <w:spacing w:before="480" w:after="240" w:line="298" w:lineRule="exact"/>
      <w:jc w:val="center"/>
    </w:pPr>
    <w:rPr>
      <w:rFonts w:ascii="Palatino Linotype" w:eastAsia="Palatino Linotype" w:hAnsi="Palatino Linotype" w:cs="Palatino Linotype"/>
      <w:b/>
      <w:bCs/>
      <w:spacing w:val="3"/>
      <w:sz w:val="19"/>
      <w:szCs w:val="19"/>
    </w:rPr>
  </w:style>
  <w:style w:type="paragraph" w:customStyle="1" w:styleId="30">
    <w:name w:val="Основний текст (3)"/>
    <w:basedOn w:val="a"/>
    <w:link w:val="3"/>
    <w:rsid w:val="00F172B9"/>
    <w:pPr>
      <w:shd w:val="clear" w:color="auto" w:fill="FFFFFF"/>
      <w:spacing w:before="240" w:after="240" w:line="254" w:lineRule="exact"/>
      <w:ind w:hanging="480"/>
      <w:jc w:val="both"/>
    </w:pPr>
    <w:rPr>
      <w:rFonts w:ascii="Arial" w:eastAsia="Arial" w:hAnsi="Arial" w:cs="Arial"/>
      <w:i/>
      <w:iCs/>
      <w:spacing w:val="-1"/>
      <w:sz w:val="17"/>
      <w:szCs w:val="17"/>
      <w:lang w:val="en-US" w:eastAsia="en-US" w:bidi="en-US"/>
    </w:rPr>
  </w:style>
  <w:style w:type="paragraph" w:customStyle="1" w:styleId="a7">
    <w:name w:val="Основний текст"/>
    <w:basedOn w:val="a"/>
    <w:link w:val="a6"/>
    <w:rsid w:val="00F172B9"/>
    <w:pPr>
      <w:shd w:val="clear" w:color="auto" w:fill="FFFFFF"/>
      <w:spacing w:before="240" w:line="254" w:lineRule="exact"/>
      <w:ind w:hanging="420"/>
      <w:jc w:val="both"/>
    </w:pPr>
    <w:rPr>
      <w:rFonts w:ascii="Arial" w:eastAsia="Arial" w:hAnsi="Arial" w:cs="Arial"/>
      <w:spacing w:val="3"/>
      <w:sz w:val="17"/>
      <w:szCs w:val="17"/>
    </w:rPr>
  </w:style>
  <w:style w:type="paragraph" w:customStyle="1" w:styleId="40">
    <w:name w:val="Основний текст (4)"/>
    <w:basedOn w:val="a"/>
    <w:link w:val="4"/>
    <w:rsid w:val="00F172B9"/>
    <w:pPr>
      <w:shd w:val="clear" w:color="auto" w:fill="FFFFFF"/>
      <w:spacing w:before="240" w:line="0" w:lineRule="atLeast"/>
    </w:pPr>
    <w:rPr>
      <w:rFonts w:ascii="Palatino Linotype" w:eastAsia="Palatino Linotype" w:hAnsi="Palatino Linotype" w:cs="Palatino Linotype"/>
      <w:spacing w:val="3"/>
      <w:sz w:val="13"/>
      <w:szCs w:val="13"/>
    </w:rPr>
  </w:style>
  <w:style w:type="paragraph" w:customStyle="1" w:styleId="32">
    <w:name w:val="Колонтитул (3)"/>
    <w:basedOn w:val="a"/>
    <w:link w:val="31"/>
    <w:rsid w:val="00F172B9"/>
    <w:pPr>
      <w:shd w:val="clear" w:color="auto" w:fill="FFFFFF"/>
      <w:spacing w:line="0" w:lineRule="atLeast"/>
    </w:pPr>
    <w:rPr>
      <w:rFonts w:ascii="Arial" w:eastAsia="Arial" w:hAnsi="Arial" w:cs="Arial"/>
      <w:spacing w:val="3"/>
      <w:sz w:val="13"/>
      <w:szCs w:val="13"/>
    </w:rPr>
  </w:style>
  <w:style w:type="paragraph" w:customStyle="1" w:styleId="50">
    <w:name w:val="Основний текст (5)"/>
    <w:basedOn w:val="a"/>
    <w:link w:val="5"/>
    <w:rsid w:val="00F172B9"/>
    <w:pPr>
      <w:shd w:val="clear" w:color="auto" w:fill="FFFFFF"/>
      <w:spacing w:after="240" w:line="0" w:lineRule="atLeast"/>
      <w:jc w:val="center"/>
    </w:pPr>
    <w:rPr>
      <w:rFonts w:ascii="Arial" w:eastAsia="Arial" w:hAnsi="Arial" w:cs="Arial"/>
      <w:b/>
      <w:bCs/>
      <w:i/>
      <w:iCs/>
      <w:spacing w:val="-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s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bc.ua/rus/top/show/-otmena-dvoynogo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2755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8462</Words>
  <Characters>4824</Characters>
  <Application>Microsoft Office Word</Application>
  <DocSecurity>0</DocSecurity>
  <Lines>40</Lines>
  <Paragraphs>26</Paragraphs>
  <ScaleCrop>false</ScaleCrop>
  <Company>Microsoft</Company>
  <LinksUpToDate>false</LinksUpToDate>
  <CharactersWithSpaces>13260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1</cp:revision>
  <dcterms:created xsi:type="dcterms:W3CDTF">2017-06-14T09:40:00Z</dcterms:created>
  <dcterms:modified xsi:type="dcterms:W3CDTF">2017-06-14T09:41:00Z</dcterms:modified>
</cp:coreProperties>
</file>