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6A" w:rsidRDefault="00865386">
      <w:pPr>
        <w:pStyle w:val="20"/>
        <w:framePr w:w="3403" w:h="461" w:hRule="exact" w:wrap="around" w:vAnchor="page" w:hAnchor="page" w:x="1489" w:y="1066"/>
        <w:shd w:val="clear" w:color="auto" w:fill="auto"/>
        <w:spacing w:after="43" w:line="150" w:lineRule="exact"/>
        <w:ind w:left="40"/>
      </w:pPr>
      <w:r>
        <w:t>І. Ховрак</w:t>
      </w:r>
    </w:p>
    <w:p w:rsidR="00A3206A" w:rsidRDefault="00865386">
      <w:pPr>
        <w:pStyle w:val="a5"/>
        <w:framePr w:w="3403" w:h="461" w:hRule="exact" w:wrap="around" w:vAnchor="page" w:hAnchor="page" w:x="1489" w:y="1066"/>
        <w:shd w:val="clear" w:color="auto" w:fill="auto"/>
        <w:spacing w:before="0" w:line="170" w:lineRule="exact"/>
        <w:ind w:left="40"/>
      </w:pPr>
      <w:r>
        <w:t>Вплив глобалізаційних процесів.</w:t>
      </w:r>
    </w:p>
    <w:p w:rsidR="00A3206A" w:rsidRDefault="00865386">
      <w:pPr>
        <w:pStyle w:val="10"/>
        <w:framePr w:w="9086" w:h="1302" w:hRule="exact" w:wrap="around" w:vAnchor="page" w:hAnchor="page" w:x="1532" w:y="2367"/>
        <w:shd w:val="clear" w:color="auto" w:fill="auto"/>
        <w:spacing w:after="367" w:line="180" w:lineRule="exact"/>
        <w:ind w:right="20"/>
      </w:pPr>
      <w:bookmarkStart w:id="0" w:name="bookmark0"/>
      <w:r>
        <w:t>Інна ХОВРАК</w:t>
      </w:r>
      <w:bookmarkEnd w:id="0"/>
    </w:p>
    <w:p w:rsidR="00A3206A" w:rsidRDefault="00865386">
      <w:pPr>
        <w:pStyle w:val="22"/>
        <w:framePr w:w="9086" w:h="1302" w:hRule="exact" w:wrap="around" w:vAnchor="page" w:hAnchor="page" w:x="1532" w:y="2367"/>
        <w:shd w:val="clear" w:color="auto" w:fill="auto"/>
        <w:spacing w:before="0" w:after="0"/>
        <w:ind w:left="20"/>
      </w:pPr>
      <w:r>
        <w:t>ВПЛИВ ГЛОБАЛІЗАЦІЙНИХ ПРОЦЕСІВ НА ФІНАНСОВУ БЕЗПЕКУ СУБ’ЄКТІВ КОРПОРАТИВНОГО СЕКТОРУ</w:t>
      </w:r>
    </w:p>
    <w:p w:rsidR="00A3206A" w:rsidRDefault="00865386">
      <w:pPr>
        <w:pStyle w:val="30"/>
        <w:framePr w:w="9086" w:h="10550" w:hRule="exact" w:wrap="around" w:vAnchor="page" w:hAnchor="page" w:x="1532" w:y="4103"/>
        <w:shd w:val="clear" w:color="auto" w:fill="auto"/>
        <w:spacing w:before="0"/>
        <w:ind w:left="20" w:right="20" w:firstLine="280"/>
      </w:pPr>
      <w:r>
        <w:rPr>
          <w:lang w:val="uk-UA" w:eastAsia="uk-UA" w:bidi="uk-UA"/>
        </w:rPr>
        <w:t xml:space="preserve">Розкрито позитивний та негативний вплив глобалізації на корпоративний сектор. Обґрунтовано сутність та особливості </w:t>
      </w:r>
      <w:r>
        <w:rPr>
          <w:lang w:val="uk-UA" w:eastAsia="uk-UA" w:bidi="uk-UA"/>
        </w:rPr>
        <w:t>фінансової безпеки суб’єктів корпоративного сектору. Запропоновано систему забезпечення фінансової безпеки корпоративних структур.</w:t>
      </w:r>
    </w:p>
    <w:p w:rsidR="00A3206A" w:rsidRDefault="00865386">
      <w:pPr>
        <w:pStyle w:val="30"/>
        <w:framePr w:w="9086" w:h="10550" w:hRule="exact" w:wrap="around" w:vAnchor="page" w:hAnchor="page" w:x="1532" w:y="4103"/>
        <w:shd w:val="clear" w:color="auto" w:fill="auto"/>
        <w:spacing w:before="0"/>
        <w:ind w:left="20" w:right="20" w:firstLine="280"/>
      </w:pPr>
      <w:r>
        <w:t>The positive and negative effects of globalization for corporate sector are presented in the article. Essence and peculiariti</w:t>
      </w:r>
      <w:r>
        <w:t>es of financial security of corporate sector suggested. System of ensure the financial security of corporate structures proposed.</w:t>
      </w:r>
    </w:p>
    <w:p w:rsidR="00A3206A" w:rsidRDefault="00865386">
      <w:pPr>
        <w:pStyle w:val="a7"/>
        <w:framePr w:w="9086" w:h="10550" w:hRule="exact" w:wrap="around" w:vAnchor="page" w:hAnchor="page" w:x="1532" w:y="4103"/>
        <w:shd w:val="clear" w:color="auto" w:fill="auto"/>
        <w:spacing w:before="0"/>
        <w:ind w:left="20" w:right="20" w:firstLine="280"/>
      </w:pPr>
      <w:r>
        <w:t>Панівною тенденцією останніх трьох десятиліть є розвиток глобалізаційних процесів, які виявля</w:t>
      </w:r>
      <w:r>
        <w:softHyphen/>
        <w:t>ються в зростанні конкуренції мі</w:t>
      </w:r>
      <w:r>
        <w:t>ж кредитними й фінансовими установами на фінансових ринках [8, с. 216]; лібералізації міжнародних фінансових ринків, зростанні міжнародної мобільності капіталу [11]; злитті й поглинанні суб’єктів корпоративного сектору [7]; посиленні інтернаціоналізації бі</w:t>
      </w:r>
      <w:r>
        <w:t>знесу, використанні нових технологій та доступу транснаціонального капіталу до нових ринків [12, с. 4]; розширенні сфер використання інформаційних технологій і телекомунікації тощо. Як наслідок, вітчизняний корпоративний сектор перетворюється на відкриту с</w:t>
      </w:r>
      <w:r>
        <w:t>истему з високим рівнем залежності від припливу іноземного капіталу у формі прямих та портфельних інвестицій і кредитів. Отже, питання забезпечення фінансової безпеки суб’єктів корпоративного сектору набуває особливої актуальності в сучасних умовах.</w:t>
      </w:r>
    </w:p>
    <w:p w:rsidR="00A3206A" w:rsidRDefault="00865386">
      <w:pPr>
        <w:pStyle w:val="a7"/>
        <w:framePr w:w="9086" w:h="10550" w:hRule="exact" w:wrap="around" w:vAnchor="page" w:hAnchor="page" w:x="1532" w:y="4103"/>
        <w:shd w:val="clear" w:color="auto" w:fill="auto"/>
        <w:spacing w:before="0"/>
        <w:ind w:left="20" w:right="20" w:firstLine="280"/>
      </w:pPr>
      <w:r>
        <w:t xml:space="preserve">Дослідженню проблеми фінансової безпеки в умовах глобалізації економіки приділяється значна увага вітчизняних і зарубіжних науковців. Так, А. Соснін та П. Пригунов стверджують, що економічне благополуччя й могутність суб’єктів господарювання тримається на </w:t>
      </w:r>
      <w:r>
        <w:t>«трьох китах» - розвитку, без</w:t>
      </w:r>
      <w:r>
        <w:softHyphen/>
        <w:t>пеці та прибутку [5, с. 63], тому забезпечення безпеки в сучасних умовах є першочерговим завданням всіх суб’єктів корпоративного сектору. І. Білецьката В. Орлова наголошують, що управління фінан</w:t>
      </w:r>
      <w:r>
        <w:softHyphen/>
        <w:t>совою безпекою потрібно розгляд</w:t>
      </w:r>
      <w:r>
        <w:t>ати у взаємозв’язку з антикризовим, санаційним і попереджувальним фінансовим управлінням, а такожуправлінням фінансовими ризиками [1, с. 30]. Проте, незважаючи на значну кількість публікацій з цієї проблематики, вона потребує подальшого розвитку. Так, незн</w:t>
      </w:r>
      <w:r>
        <w:t>ачна увага приділяється проблемам фінансової безпеки суб’єктів корпоративного сектору в умовах глобалізації. Такожнедостатньо чітко сформульована система забезпечення фінансової безпеки корпоративних структур.</w:t>
      </w:r>
    </w:p>
    <w:p w:rsidR="00A3206A" w:rsidRDefault="00865386">
      <w:pPr>
        <w:pStyle w:val="a7"/>
        <w:framePr w:w="9086" w:h="10550" w:hRule="exact" w:wrap="around" w:vAnchor="page" w:hAnchor="page" w:x="1532" w:y="4103"/>
        <w:shd w:val="clear" w:color="auto" w:fill="auto"/>
        <w:spacing w:before="0"/>
        <w:ind w:left="20" w:right="20" w:firstLine="280"/>
      </w:pPr>
      <w:r>
        <w:t>Мета статті полягає в обґрунтуванні сутності т</w:t>
      </w:r>
      <w:r>
        <w:t>а особливостей фінансової безпеки суб’єктів корпоративного сектору в умовах глобалізаційних процесів.</w:t>
      </w:r>
    </w:p>
    <w:p w:rsidR="00A3206A" w:rsidRDefault="00865386">
      <w:pPr>
        <w:pStyle w:val="a7"/>
        <w:framePr w:w="9086" w:h="10550" w:hRule="exact" w:wrap="around" w:vAnchor="page" w:hAnchor="page" w:x="1532" w:y="4103"/>
        <w:shd w:val="clear" w:color="auto" w:fill="auto"/>
        <w:spacing w:before="0"/>
        <w:ind w:left="20" w:right="20" w:firstLine="280"/>
      </w:pPr>
      <w:r>
        <w:t>Сучасна економіка, що сформована в процесі глобалізації, розглядається як «фінансова економіка у вигляді взаємопов’язаної та взаємозалежної системи фінанс</w:t>
      </w:r>
      <w:r>
        <w:t>ових ринків країн світу, які поділяються на ринки розвинуті та такі, що розвиваються» [2, с. 74]. Водночас В. Козюк акцентує увагу на двох основних проявах глобалізації: «...реальній (простежується у нарощуванні частки торгівлі у ВВП та втягуванні в міжнар</w:t>
      </w:r>
      <w:r>
        <w:t>одну торгівлю дедалі більшої кількості націй) та фінансовій (інтеграція фінансових ринків та нарощування величини зовнішніх фінансових активів та зобов’язань до ВВП)» [3, с. 7]. При цьому науковці наголошують, що на глобалізаційні процеси впливає низка чин</w:t>
      </w:r>
      <w:r>
        <w:t>ників, серед яких можна виділити такі [2, с. 74]: регулятивні, технологічні, політичні, соціальні, чинники якісних змін у фінансах та ін. Принциповою закономірністю у сфері прояву глобілізаційних процесів у сучасних умовах є посилення процесів злиття та по</w:t>
      </w:r>
      <w:r>
        <w:t>глинань у корпоративному секторі (табл. 1).</w:t>
      </w:r>
    </w:p>
    <w:p w:rsidR="00A3206A" w:rsidRDefault="00865386">
      <w:pPr>
        <w:pStyle w:val="40"/>
        <w:framePr w:wrap="around" w:vAnchor="page" w:hAnchor="page" w:x="1532" w:y="14981"/>
        <w:shd w:val="clear" w:color="auto" w:fill="auto"/>
        <w:spacing w:before="0" w:line="140" w:lineRule="exact"/>
        <w:ind w:left="20"/>
      </w:pPr>
      <w:r>
        <w:t>© Інна Ховрак, 2013.</w:t>
      </w:r>
    </w:p>
    <w:p w:rsidR="00A3206A" w:rsidRDefault="00865386">
      <w:pPr>
        <w:pStyle w:val="a5"/>
        <w:framePr w:wrap="around" w:vAnchor="page" w:hAnchor="page" w:x="1498" w:y="15551"/>
        <w:shd w:val="clear" w:color="auto" w:fill="auto"/>
        <w:spacing w:before="0" w:line="170" w:lineRule="exact"/>
        <w:ind w:left="20"/>
      </w:pPr>
      <w:r>
        <w:t>140</w:t>
      </w:r>
    </w:p>
    <w:p w:rsidR="00A3206A" w:rsidRDefault="00865386">
      <w:pPr>
        <w:pStyle w:val="32"/>
        <w:framePr w:wrap="around" w:vAnchor="page" w:hAnchor="page" w:x="8420" w:y="15557"/>
        <w:shd w:val="clear" w:color="auto" w:fill="auto"/>
        <w:spacing w:line="130" w:lineRule="exact"/>
        <w:ind w:left="20"/>
      </w:pPr>
      <w:r>
        <w:t>Наука молода № 19, 2013 р.</w:t>
      </w:r>
    </w:p>
    <w:p w:rsidR="00A3206A" w:rsidRDefault="00A3206A">
      <w:pPr>
        <w:rPr>
          <w:sz w:val="2"/>
          <w:szCs w:val="2"/>
        </w:rPr>
        <w:sectPr w:rsidR="00A32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06A" w:rsidRDefault="00865386">
      <w:pPr>
        <w:pStyle w:val="a5"/>
        <w:framePr w:wrap="around" w:vAnchor="page" w:hAnchor="page" w:x="5391" w:y="1284"/>
        <w:shd w:val="clear" w:color="auto" w:fill="auto"/>
        <w:spacing w:before="0" w:line="170" w:lineRule="exact"/>
        <w:ind w:left="20"/>
      </w:pPr>
      <w:r>
        <w:lastRenderedPageBreak/>
        <w:t>Перспективи розвитку фінансово-кредитної системи</w:t>
      </w:r>
    </w:p>
    <w:p w:rsidR="00A3206A" w:rsidRDefault="00865386">
      <w:pPr>
        <w:pStyle w:val="24"/>
        <w:framePr w:w="898" w:h="279" w:hRule="exact" w:wrap="around" w:vAnchor="page" w:hAnchor="page" w:x="9702" w:y="1713"/>
        <w:shd w:val="clear" w:color="auto" w:fill="auto"/>
      </w:pPr>
      <w:r>
        <w:t>Таблиця 1</w:t>
      </w:r>
    </w:p>
    <w:p w:rsidR="00A3206A" w:rsidRDefault="00865386">
      <w:pPr>
        <w:pStyle w:val="22"/>
        <w:framePr w:w="7814" w:h="533" w:hRule="exact" w:wrap="around" w:vAnchor="page" w:hAnchor="page" w:x="2814" w:y="1992"/>
        <w:shd w:val="clear" w:color="auto" w:fill="auto"/>
        <w:spacing w:before="0" w:after="0" w:line="250" w:lineRule="exact"/>
      </w:pPr>
      <w:r>
        <w:t xml:space="preserve">Частка суб’єктів корпоративного сектору, що планують здійснити злиття та </w:t>
      </w:r>
      <w:r>
        <w:t>поглинання в наступних три роки, %*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63"/>
        <w:gridCol w:w="1157"/>
        <w:gridCol w:w="1157"/>
        <w:gridCol w:w="1162"/>
        <w:gridCol w:w="1157"/>
        <w:gridCol w:w="1171"/>
      </w:tblGrid>
      <w:tr w:rsidR="00A3206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Регіони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Роки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A3206A">
            <w:pPr>
              <w:framePr w:w="8966" w:h="2678" w:wrap="around" w:vAnchor="page" w:hAnchor="page" w:x="1580" w:y="2691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2008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2009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2010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2012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8"/>
              </w:rPr>
              <w:t>Північна Америка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37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8"/>
              </w:rPr>
              <w:t>БРІК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35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8"/>
              </w:rPr>
              <w:t>Великобританія та Ірландія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36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8"/>
              </w:rPr>
              <w:t>Континентальна Європа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28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8"/>
              </w:rPr>
              <w:t>Інші країни світу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23</w:t>
            </w:r>
          </w:p>
        </w:tc>
      </w:tr>
      <w:tr w:rsidR="00A3206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a8"/>
              </w:rPr>
              <w:t xml:space="preserve">У </w:t>
            </w:r>
            <w:r>
              <w:rPr>
                <w:rStyle w:val="a8"/>
              </w:rPr>
              <w:t>середньому в світі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06A" w:rsidRDefault="00865386">
            <w:pPr>
              <w:pStyle w:val="a7"/>
              <w:framePr w:w="8966" w:h="2678" w:wrap="around" w:vAnchor="page" w:hAnchor="page" w:x="1580" w:y="2691"/>
              <w:shd w:val="clear" w:color="auto" w:fill="auto"/>
              <w:spacing w:before="0" w:line="170" w:lineRule="exact"/>
              <w:jc w:val="center"/>
            </w:pPr>
            <w:r>
              <w:rPr>
                <w:rStyle w:val="a8"/>
              </w:rPr>
              <w:t>34</w:t>
            </w:r>
          </w:p>
        </w:tc>
      </w:tr>
    </w:tbl>
    <w:p w:rsidR="00A3206A" w:rsidRDefault="00865386">
      <w:pPr>
        <w:pStyle w:val="aa"/>
        <w:framePr w:wrap="around" w:vAnchor="page" w:hAnchor="page" w:x="1714" w:y="5513"/>
        <w:shd w:val="clear" w:color="auto" w:fill="auto"/>
        <w:spacing w:line="150" w:lineRule="exact"/>
      </w:pPr>
      <w:r>
        <w:t>* За даними [7, с. 3].</w:t>
      </w:r>
    </w:p>
    <w:p w:rsidR="00A3206A" w:rsidRDefault="00865386">
      <w:pPr>
        <w:pStyle w:val="a7"/>
        <w:framePr w:w="9082" w:h="9058" w:hRule="exact" w:wrap="around" w:vAnchor="page" w:hAnchor="page" w:x="1532" w:y="5851"/>
        <w:shd w:val="clear" w:color="auto" w:fill="auto"/>
        <w:spacing w:before="0" w:line="250" w:lineRule="exact"/>
        <w:ind w:left="20" w:right="20" w:firstLine="280"/>
      </w:pPr>
      <w:r>
        <w:t>Враховуючи, що розвиток корпоративного сектору є передумовою зростання національної економіки, доцільно проаналізувати вплив глобалізаційних процесів на його функціонування.</w:t>
      </w:r>
    </w:p>
    <w:p w:rsidR="00A3206A" w:rsidRDefault="00865386">
      <w:pPr>
        <w:pStyle w:val="a7"/>
        <w:framePr w:w="9082" w:h="9058" w:hRule="exact" w:wrap="around" w:vAnchor="page" w:hAnchor="page" w:x="1532" w:y="5851"/>
        <w:shd w:val="clear" w:color="auto" w:fill="auto"/>
        <w:spacing w:before="0" w:line="250" w:lineRule="exact"/>
        <w:ind w:left="20" w:right="20" w:firstLine="280"/>
      </w:pPr>
      <w:r>
        <w:t xml:space="preserve">Щодо позитивного впливу </w:t>
      </w:r>
      <w:r>
        <w:t>глобалізаційних процесів на функціонування вітчизняного корпоратив</w:t>
      </w:r>
      <w:r>
        <w:softHyphen/>
        <w:t>ного сектору, то можна виділити таке [10, с. 34; 13, с. 16-20]: 1) сприяння конкуренції, впровадження інновацій, нових технологій і передового досвіду; 2) підвищення фінансової відкритості,</w:t>
      </w:r>
      <w:r>
        <w:t xml:space="preserve"> прозорості, якості корпоративного управління, використання переваг економії на масштабах; 3) доступ до світових фондових ринків, що дає змогу суб’єктам корпоративного сектору подолати несприятливі наслідки існування слабких інститутів в своїй країні; 4) м</w:t>
      </w:r>
      <w:r>
        <w:t>ожливість максимально використовувати переваги внутрішнього фінансового ринку за умови відсутності поспіху та впровадження послідовних змін.</w:t>
      </w:r>
    </w:p>
    <w:p w:rsidR="00A3206A" w:rsidRDefault="00865386">
      <w:pPr>
        <w:pStyle w:val="a7"/>
        <w:framePr w:w="9082" w:h="9058" w:hRule="exact" w:wrap="around" w:vAnchor="page" w:hAnchor="page" w:x="1532" w:y="5851"/>
        <w:shd w:val="clear" w:color="auto" w:fill="auto"/>
        <w:spacing w:before="0" w:line="250" w:lineRule="exact"/>
        <w:ind w:left="20" w:right="20" w:firstLine="280"/>
      </w:pPr>
      <w:r>
        <w:t>Водночас поширення впливу глобалізаційних процесів є позитивним лише до певної межі, а тому необхідно врахувати низ</w:t>
      </w:r>
      <w:r>
        <w:t>ку небезпек глобалізації [9; 14, с. 2-4]: 1) нестабільність економічної системи як країни, так і корпоративного сектору, а відповідно й небезпека фінансових криз; 2) загроза банкрутства та небезпека втрати контролю за суб’єктами корпоративного сектору з не</w:t>
      </w:r>
      <w:r>
        <w:t>високим рівнем розвитку з причин боргової та іншої фінансової залежності; 3) диспропорції економічного розвитку окремих країн;</w:t>
      </w:r>
    </w:p>
    <w:p w:rsidR="00A3206A" w:rsidRDefault="00865386">
      <w:pPr>
        <w:pStyle w:val="a7"/>
        <w:framePr w:w="9082" w:h="9058" w:hRule="exact" w:wrap="around" w:vAnchor="page" w:hAnchor="page" w:x="1532" w:y="5851"/>
        <w:numPr>
          <w:ilvl w:val="0"/>
          <w:numId w:val="1"/>
        </w:numPr>
        <w:shd w:val="clear" w:color="auto" w:fill="auto"/>
        <w:spacing w:before="0" w:line="250" w:lineRule="exact"/>
        <w:ind w:left="20"/>
      </w:pPr>
      <w:r>
        <w:t xml:space="preserve"> сповільнення загального економічного зростання внаслідок зростаючої частки фінансової системи;</w:t>
      </w:r>
    </w:p>
    <w:p w:rsidR="00A3206A" w:rsidRDefault="00865386">
      <w:pPr>
        <w:pStyle w:val="a7"/>
        <w:framePr w:w="9082" w:h="9058" w:hRule="exact" w:wrap="around" w:vAnchor="page" w:hAnchor="page" w:x="1532" w:y="5851"/>
        <w:numPr>
          <w:ilvl w:val="0"/>
          <w:numId w:val="1"/>
        </w:numPr>
        <w:shd w:val="clear" w:color="auto" w:fill="auto"/>
        <w:spacing w:before="0" w:line="250" w:lineRule="exact"/>
        <w:ind w:left="20" w:right="20"/>
      </w:pPr>
      <w:r>
        <w:t xml:space="preserve"> недостовірністьта неповнота інфо</w:t>
      </w:r>
      <w:r>
        <w:t>рмації, а також наявність асиметрії, які мають деструктивні системні та макроекономічні наслідки.</w:t>
      </w:r>
    </w:p>
    <w:p w:rsidR="00A3206A" w:rsidRDefault="00865386">
      <w:pPr>
        <w:pStyle w:val="a7"/>
        <w:framePr w:w="9082" w:h="9058" w:hRule="exact" w:wrap="around" w:vAnchor="page" w:hAnchor="page" w:x="1532" w:y="5851"/>
        <w:shd w:val="clear" w:color="auto" w:fill="auto"/>
        <w:spacing w:before="0" w:line="250" w:lineRule="exact"/>
        <w:ind w:left="20" w:right="20" w:firstLine="280"/>
      </w:pPr>
      <w:r>
        <w:t>Тому, незважаючи на важливість і переваги поширення глобалізаційних процесів, суб’єкти корпора</w:t>
      </w:r>
      <w:r>
        <w:softHyphen/>
        <w:t>тивного сектору мають усвідомлювати необхідність гарантування в</w:t>
      </w:r>
      <w:r>
        <w:t>ласної фінансової безпеки. Фінансову безпеку суб’єктів корпоративного сектору доцільно розглядати як сукупність взаємо</w:t>
      </w:r>
      <w:r>
        <w:softHyphen/>
        <w:t>пов’язаних діагностичних, інструментальних та контрольних заходів фінансового характеру, прове</w:t>
      </w:r>
      <w:r>
        <w:softHyphen/>
        <w:t>дених з метою оптимізації використання фін</w:t>
      </w:r>
      <w:r>
        <w:t xml:space="preserve">ансових ресурсів та нівелювання впливу ризиків внутрішнього і зовнішнього середовища [6]. Також фінансова безпека є відносно стійкою в часі і просторі сукупністю фінансових відносин, пов’язаних із захистом фінансових інтересів корпоративної структури, яка </w:t>
      </w:r>
      <w:r>
        <w:t>формується під впливом зовнішнього середовища, має внутрішню різноманітність і гносеологічну цілісність [4, с. 89].</w:t>
      </w:r>
    </w:p>
    <w:p w:rsidR="00A3206A" w:rsidRDefault="00865386">
      <w:pPr>
        <w:pStyle w:val="a7"/>
        <w:framePr w:w="9082" w:h="9058" w:hRule="exact" w:wrap="around" w:vAnchor="page" w:hAnchor="page" w:x="1532" w:y="5851"/>
        <w:shd w:val="clear" w:color="auto" w:fill="auto"/>
        <w:spacing w:before="0" w:line="250" w:lineRule="exact"/>
        <w:ind w:left="20" w:right="20" w:firstLine="280"/>
      </w:pPr>
      <w:r>
        <w:t>Специфічними рисами, які відрізняють фінансову безпеку суб’єктів корпоративного сектору від фінансової безпеки інших суб’єктів господарюванн</w:t>
      </w:r>
      <w:r>
        <w:t>я, є: відділення власників від процесу управління та обмеження їх ризиків величиною внеску, боротьба за контроль над власністю, залежність від фондо</w:t>
      </w:r>
      <w:r>
        <w:softHyphen/>
        <w:t xml:space="preserve">вого ринку, наявність складної системи управління та невисока оперативність у прийнятті рішень, потенційні </w:t>
      </w:r>
      <w:r>
        <w:t>можливості для зловживань та опортуністична поведінка топ-менеджерівтощо. Також варто наголосити, що корпоративні структури перебувають у фінансовій безпеці, якщо їх фінансові інтереси гармонізовані з інтересами учасників корпоративних відносин: внутрішніх</w:t>
      </w:r>
      <w:r>
        <w:t xml:space="preserve"> (власників, топ-менедж- менту, персоналу) та зовнішніх (держави, суспільства, інвесторів, кредиторів, контрагентів тощо).</w:t>
      </w:r>
    </w:p>
    <w:p w:rsidR="00A3206A" w:rsidRDefault="00865386">
      <w:pPr>
        <w:pStyle w:val="a7"/>
        <w:framePr w:w="9082" w:h="9058" w:hRule="exact" w:wrap="around" w:vAnchor="page" w:hAnchor="page" w:x="1532" w:y="5851"/>
        <w:shd w:val="clear" w:color="auto" w:fill="auto"/>
        <w:spacing w:before="0" w:line="250" w:lineRule="exact"/>
        <w:ind w:left="20" w:right="20" w:firstLine="280"/>
      </w:pPr>
      <w:r>
        <w:t xml:space="preserve">При цьому фінансова безпека є поняттям інтегрованим та комплексним. Елементами системи забезпечення фінансової безпеки корпоративних </w:t>
      </w:r>
      <w:r>
        <w:t>структур є:</w:t>
      </w:r>
    </w:p>
    <w:p w:rsidR="00A3206A" w:rsidRDefault="00865386">
      <w:pPr>
        <w:pStyle w:val="32"/>
        <w:framePr w:wrap="around" w:vAnchor="page" w:hAnchor="page" w:x="1522" w:y="15560"/>
        <w:shd w:val="clear" w:color="auto" w:fill="auto"/>
        <w:spacing w:line="130" w:lineRule="exact"/>
        <w:ind w:left="20"/>
      </w:pPr>
      <w:r>
        <w:t>Наука молода № 19, 2013 р.</w:t>
      </w:r>
    </w:p>
    <w:p w:rsidR="00A3206A" w:rsidRDefault="00865386">
      <w:pPr>
        <w:pStyle w:val="a5"/>
        <w:framePr w:wrap="around" w:vAnchor="page" w:hAnchor="page" w:x="10306" w:y="15582"/>
        <w:shd w:val="clear" w:color="auto" w:fill="auto"/>
        <w:spacing w:before="0" w:line="170" w:lineRule="exact"/>
        <w:ind w:left="20"/>
      </w:pPr>
      <w:r>
        <w:t>141</w:t>
      </w:r>
    </w:p>
    <w:p w:rsidR="00A3206A" w:rsidRDefault="00A3206A">
      <w:pPr>
        <w:rPr>
          <w:sz w:val="2"/>
          <w:szCs w:val="2"/>
        </w:rPr>
        <w:sectPr w:rsidR="00A32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06A" w:rsidRDefault="00865386">
      <w:pPr>
        <w:pStyle w:val="20"/>
        <w:framePr w:w="9144" w:h="432" w:hRule="exact" w:wrap="around" w:vAnchor="page" w:hAnchor="page" w:x="1496" w:y="1088"/>
        <w:shd w:val="clear" w:color="auto" w:fill="auto"/>
        <w:spacing w:after="43" w:line="150" w:lineRule="exact"/>
        <w:ind w:left="40"/>
      </w:pPr>
      <w:r>
        <w:lastRenderedPageBreak/>
        <w:t>І. Ховрак</w:t>
      </w:r>
    </w:p>
    <w:p w:rsidR="00A3206A" w:rsidRDefault="00865386">
      <w:pPr>
        <w:pStyle w:val="a5"/>
        <w:framePr w:w="9144" w:h="432" w:hRule="exact" w:wrap="around" w:vAnchor="page" w:hAnchor="page" w:x="1496" w:y="1088"/>
        <w:shd w:val="clear" w:color="auto" w:fill="auto"/>
        <w:spacing w:before="0" w:line="170" w:lineRule="exact"/>
        <w:ind w:left="40"/>
      </w:pPr>
      <w:r>
        <w:t>Вплив глобалізаційних процесів...</w:t>
      </w:r>
    </w:p>
    <w:p w:rsidR="00A3206A" w:rsidRDefault="00865386">
      <w:pPr>
        <w:pStyle w:val="a7"/>
        <w:framePr w:w="9082" w:h="11803" w:hRule="exact" w:wrap="around" w:vAnchor="page" w:hAnchor="page" w:x="1534" w:y="1744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суб’єкти забезпечення фінансової безпеки (власники, топ-менеджмент, фінансовий відділ, служба безпеки тощо);</w:t>
      </w:r>
    </w:p>
    <w:p w:rsidR="00A3206A" w:rsidRDefault="00865386">
      <w:pPr>
        <w:pStyle w:val="a7"/>
        <w:framePr w:w="9082" w:h="11803" w:hRule="exact" w:wrap="around" w:vAnchor="page" w:hAnchor="page" w:x="1534" w:y="1744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цілі та завдання системи безпеки (оптимальне залучення та ефективне використання фінансових ресурсів; гнучкість та оперативність прийняття рішень у фінансовій сфері; зменшення або нівелювання фінансових ризиків; збереження та розвиток фінансового потенціа</w:t>
      </w:r>
      <w:r>
        <w:t>лу; гарантування ліквідності, платоспроможності, ділової активності та фінансової стійкості; запобігання конфліктам міжучасни- ками корпоративних відносин з приводу розподілу, використання і контролю за грошовими потоками; запобігання злочинам і адміністра</w:t>
      </w:r>
      <w:r>
        <w:t>тивним правопорушенням у фінансових правовідносин);</w:t>
      </w:r>
    </w:p>
    <w:p w:rsidR="00A3206A" w:rsidRDefault="00865386">
      <w:pPr>
        <w:pStyle w:val="a7"/>
        <w:framePr w:w="9082" w:h="11803" w:hRule="exact" w:wrap="around" w:vAnchor="page" w:hAnchor="page" w:x="1534" w:y="1744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об’єкти безпеки (акціонерний капітал; фінансові, інформаційні та людські ресурси; об’єкти інтелек</w:t>
      </w:r>
      <w:r>
        <w:softHyphen/>
        <w:t>туальної власності; іміджта загалом корпоративна структура);</w:t>
      </w:r>
    </w:p>
    <w:p w:rsidR="00A3206A" w:rsidRDefault="00865386">
      <w:pPr>
        <w:pStyle w:val="a7"/>
        <w:framePr w:w="9082" w:h="11803" w:hRule="exact" w:wrap="around" w:vAnchor="page" w:hAnchor="page" w:x="1534" w:y="1744"/>
        <w:numPr>
          <w:ilvl w:val="0"/>
          <w:numId w:val="2"/>
        </w:numPr>
        <w:shd w:val="clear" w:color="auto" w:fill="auto"/>
        <w:spacing w:before="0"/>
        <w:ind w:left="20" w:firstLine="280"/>
      </w:pPr>
      <w:r>
        <w:t xml:space="preserve"> загрози фінансовій безпеці (зовнішні та вну</w:t>
      </w:r>
      <w:r>
        <w:t>трішні);</w:t>
      </w:r>
    </w:p>
    <w:p w:rsidR="00A3206A" w:rsidRDefault="00865386">
      <w:pPr>
        <w:pStyle w:val="a7"/>
        <w:framePr w:w="9082" w:h="11803" w:hRule="exact" w:wrap="around" w:vAnchor="page" w:hAnchor="page" w:x="1534" w:y="1744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механізми забезпечення безпеки (система фінансової діагностики, система контролю та оцінки результатів, система принципів, функцій, форм, методів і засобів забезпечення фінансової безпеки);</w:t>
      </w:r>
    </w:p>
    <w:p w:rsidR="00A3206A" w:rsidRDefault="00865386">
      <w:pPr>
        <w:pStyle w:val="a7"/>
        <w:framePr w:w="9082" w:h="11803" w:hRule="exact" w:wrap="around" w:vAnchor="page" w:hAnchor="page" w:x="1534" w:y="1744"/>
        <w:numPr>
          <w:ilvl w:val="0"/>
          <w:numId w:val="2"/>
        </w:numPr>
        <w:shd w:val="clear" w:color="auto" w:fill="auto"/>
        <w:spacing w:before="0"/>
        <w:ind w:left="20" w:right="20" w:firstLine="280"/>
      </w:pPr>
      <w:r>
        <w:t xml:space="preserve"> режим функціонування системи забезпечення фінансової бе</w:t>
      </w:r>
      <w:r>
        <w:t>зпеки (повсякденний, підвищеної готовності, у надзвичайних ситуаціях).</w:t>
      </w:r>
    </w:p>
    <w:p w:rsidR="00A3206A" w:rsidRDefault="00865386">
      <w:pPr>
        <w:pStyle w:val="a7"/>
        <w:framePr w:w="9082" w:h="11803" w:hRule="exact" w:wrap="around" w:vAnchor="page" w:hAnchor="page" w:x="1534" w:y="1744"/>
        <w:shd w:val="clear" w:color="auto" w:fill="auto"/>
        <w:spacing w:before="0"/>
        <w:ind w:left="20" w:right="20" w:firstLine="280"/>
      </w:pPr>
      <w:r>
        <w:t xml:space="preserve">Система фінансової безпеки суб’єктів корпоративного сектору не може бути шаблонною, оскільки вона залежить від особливостей даних суб’єктів (рівня розвитку, структури власності та </w:t>
      </w:r>
      <w:r>
        <w:t>управління, величини, потенціалу та ефективності його використання). Система фінансової безпеки має бути унікальною, самостійною, комплексною, дієвою та ефективною, а також базуватись на стратегії, орієнтованій на прогнозування, завчасне виявлення небезпек</w:t>
      </w:r>
      <w:r>
        <w:t>та загроз.</w:t>
      </w:r>
    </w:p>
    <w:p w:rsidR="00A3206A" w:rsidRDefault="00865386">
      <w:pPr>
        <w:pStyle w:val="a7"/>
        <w:framePr w:w="9082" w:h="11803" w:hRule="exact" w:wrap="around" w:vAnchor="page" w:hAnchor="page" w:x="1534" w:y="1744"/>
        <w:shd w:val="clear" w:color="auto" w:fill="auto"/>
        <w:spacing w:before="0"/>
        <w:ind w:left="20" w:right="20" w:firstLine="280"/>
      </w:pPr>
      <w:r>
        <w:t>З іншого боку, в процесі побудови системи фінансової безпеки суб’єктів корпоративного сектору варто виходити з таких принципів [1, с. 31-32]: орієнтованість на корпоративну стратегію, збалансо</w:t>
      </w:r>
      <w:r>
        <w:softHyphen/>
        <w:t>ваність стратегії та інтегрованість із системою упра</w:t>
      </w:r>
      <w:r>
        <w:t>вління економічною безпекою, високий динамізм та неперервність процесу управління, різноманітний характер розроблення управлінських рішень, а також принцип економічної доцільності. Залежно від об’єктів безпеки, структура стратегії фінансової безпеки може о</w:t>
      </w:r>
      <w:r>
        <w:t>хоплювати такі складові: стратегія управління активами, інвестиційна стратегія, страте</w:t>
      </w:r>
      <w:r>
        <w:softHyphen/>
        <w:t xml:space="preserve">гія управління грошовими потоками, стратегія управління фінансовими ризиками, стратегія управління доходами, витратами і прибутком тощо. Проте будь-яка складова повинна </w:t>
      </w:r>
      <w:r>
        <w:t xml:space="preserve">розроблятись лише після здійснення фінансовоїдіагностики. Серед методикоцінки фінансового станута рівня фінансової безпеки найбільш поширеними є коефіцієнтні методи, методи індикативного аналізу, експертних оцінокта оцінка ризиків функціонування суб’єктів </w:t>
      </w:r>
      <w:r>
        <w:t>корпоративного сектору.</w:t>
      </w:r>
    </w:p>
    <w:p w:rsidR="00A3206A" w:rsidRDefault="00865386">
      <w:pPr>
        <w:pStyle w:val="a7"/>
        <w:framePr w:w="9082" w:h="11803" w:hRule="exact" w:wrap="around" w:vAnchor="page" w:hAnchor="page" w:x="1534" w:y="1744"/>
        <w:shd w:val="clear" w:color="auto" w:fill="auto"/>
        <w:spacing w:before="0"/>
        <w:ind w:left="20" w:right="20" w:firstLine="280"/>
      </w:pPr>
      <w:r>
        <w:t xml:space="preserve">В свою чергу, здійснення фінансовоїдіагностики потребує інформаційного забезпечення, тобто сукупності технічних, програмних, методичних та інформаційних засобів. Можна виділити такі основні характеристики інформації, необхідної для </w:t>
      </w:r>
      <w:r>
        <w:t>здійснення діагностики: достовірність, оперативність, своє</w:t>
      </w:r>
      <w:r>
        <w:softHyphen/>
        <w:t>часність, цілісність та конфіденційність. Відповідно наявність інформаційного забезпечення оцінки рівня фінансової безпеки суб’єктів корпоративного сектору сприятиме розширенню можливостей у прийня</w:t>
      </w:r>
      <w:r>
        <w:t>тті управлінських рішень щодо формування та реалізації стратегії фінансової безпеки, яка, в свою чергу, забезпечить динамічний довгостроковий розвиток корпоративної структури.</w:t>
      </w:r>
    </w:p>
    <w:p w:rsidR="00A3206A" w:rsidRDefault="00865386">
      <w:pPr>
        <w:pStyle w:val="a7"/>
        <w:framePr w:w="9082" w:h="11803" w:hRule="exact" w:wrap="around" w:vAnchor="page" w:hAnchor="page" w:x="1534" w:y="1744"/>
        <w:shd w:val="clear" w:color="auto" w:fill="auto"/>
        <w:spacing w:before="0"/>
        <w:ind w:left="20" w:right="20" w:firstLine="280"/>
      </w:pPr>
      <w:r>
        <w:t>Отже, для повноцінної участі країни в глобальному процесі на рівноправних умовах</w:t>
      </w:r>
      <w:r>
        <w:t>та підвищення фінансової безпеки суб’єктів корпоративного сектору необхідно сприяння держави в таких сферах: узгодження вітчизняного законодавства з міжнародними стандартами і сучасними вимогами розвитку фінансових відносин; підвищення капіталізації та лік</w:t>
      </w:r>
      <w:r>
        <w:t>відності фондового ринку; удосконалення інсти- туційної структури ринків капіталу з метою диверсифікації ресурсної бази та залучення збережень населення; посилення контролю за дотриманням вимог законодавства, запобігання шахрайству тощо. Забезпечення фінан</w:t>
      </w:r>
      <w:r>
        <w:t>сової безпеки суб’єктів корпоративного сектору дасть змогу не лише підвищити їх захищеність від ризиків, а також підвищить ефективність їх діяльності загалом.</w:t>
      </w:r>
    </w:p>
    <w:p w:rsidR="00A3206A" w:rsidRDefault="00865386">
      <w:pPr>
        <w:pStyle w:val="a5"/>
        <w:framePr w:wrap="around" w:vAnchor="page" w:hAnchor="page" w:x="1506" w:y="15563"/>
        <w:shd w:val="clear" w:color="auto" w:fill="auto"/>
        <w:spacing w:before="0" w:line="170" w:lineRule="exact"/>
        <w:ind w:left="20"/>
      </w:pPr>
      <w:r>
        <w:t>142</w:t>
      </w:r>
    </w:p>
    <w:p w:rsidR="00A3206A" w:rsidRDefault="00865386">
      <w:pPr>
        <w:pStyle w:val="32"/>
        <w:framePr w:wrap="around" w:vAnchor="page" w:hAnchor="page" w:x="8427" w:y="15569"/>
        <w:shd w:val="clear" w:color="auto" w:fill="auto"/>
        <w:spacing w:line="130" w:lineRule="exact"/>
        <w:ind w:left="20"/>
      </w:pPr>
      <w:r>
        <w:t>Наука молода № 19, 2013 р.</w:t>
      </w:r>
    </w:p>
    <w:p w:rsidR="00A3206A" w:rsidRDefault="00A3206A">
      <w:pPr>
        <w:rPr>
          <w:sz w:val="2"/>
          <w:szCs w:val="2"/>
        </w:rPr>
        <w:sectPr w:rsidR="00A3206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206A" w:rsidRDefault="00865386">
      <w:pPr>
        <w:pStyle w:val="a5"/>
        <w:framePr w:wrap="around" w:vAnchor="page" w:hAnchor="page" w:x="5264" w:y="1037"/>
        <w:shd w:val="clear" w:color="auto" w:fill="auto"/>
        <w:spacing w:before="0" w:line="170" w:lineRule="exact"/>
        <w:ind w:left="20"/>
      </w:pPr>
      <w:r>
        <w:lastRenderedPageBreak/>
        <w:t>Перспективи розвитку фінансово-кредитної сис</w:t>
      </w:r>
      <w:r>
        <w:t>теми</w:t>
      </w:r>
    </w:p>
    <w:p w:rsidR="00A3206A" w:rsidRDefault="00865386">
      <w:pPr>
        <w:pStyle w:val="50"/>
        <w:framePr w:w="8880" w:h="9684" w:hRule="exact" w:wrap="around" w:vAnchor="page" w:hAnchor="page" w:x="1635" w:y="2280"/>
        <w:shd w:val="clear" w:color="auto" w:fill="auto"/>
        <w:spacing w:after="148" w:line="180" w:lineRule="exact"/>
        <w:ind w:left="4020"/>
      </w:pPr>
      <w:r>
        <w:t>Література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 Білецька І. Місце та роль фінансової безпеки в системі економічної безпеки туристичного підприємства /1. Білецька, В. Орлова //Наука молода. - 2011. - № 15-16. - С. 29-33.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 Болдова А. А. Ринок фінансових послуг України: глобалізаційний аспект</w:t>
      </w:r>
      <w:r>
        <w:rPr>
          <w:rStyle w:val="30pt"/>
        </w:rPr>
        <w:t xml:space="preserve"> / </w:t>
      </w:r>
      <w:r>
        <w:rPr>
          <w:lang w:val="uk-UA" w:eastAsia="uk-UA" w:bidi="uk-UA"/>
        </w:rPr>
        <w:t>А. А. Болдова, В. Ю. Мойко // Збірник наукових праць Національного університету державної податкової служби України. - 2012. - № 1. - С. 72-79.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 Козюк В. Монетарна політика в глобальн</w:t>
      </w:r>
      <w:r>
        <w:rPr>
          <w:lang w:val="uk-UA" w:eastAsia="uk-UA" w:bidi="uk-UA"/>
        </w:rPr>
        <w:t>их умовах / В. Козюк. - Тернопіль: Підручники і посібники, 2007. - 192 с.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 Пойда-Носик Н. Н. Система забезпечення фінансовоїбезпеки суб’єктів підприємництва акціонерної форми господарювання: теоретико-методологічний аспект</w:t>
      </w:r>
      <w:r>
        <w:rPr>
          <w:rStyle w:val="30pt"/>
        </w:rPr>
        <w:t xml:space="preserve"> / </w:t>
      </w:r>
      <w:r>
        <w:rPr>
          <w:lang w:val="uk-UA" w:eastAsia="uk-UA" w:bidi="uk-UA"/>
        </w:rPr>
        <w:t>Н. Н. Пойда- Носик // Вісник Ун</w:t>
      </w:r>
      <w:r>
        <w:rPr>
          <w:lang w:val="uk-UA" w:eastAsia="uk-UA" w:bidi="uk-UA"/>
        </w:rPr>
        <w:t>іверситету банківської справи Національного банку України. - 2012. - № 1 (13). - С. 87-91.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 Соснин А. С. Менеджмент безопасности предпринимательства / А. С. Соснин, П. Я. Прьі- гунов. - К.: Изд-во Европ. ун-та, 2002. - 559 с.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Фінансова безпека підприємств </w:t>
      </w:r>
      <w:r>
        <w:rPr>
          <w:lang w:val="uk-UA" w:eastAsia="uk-UA" w:bidi="uk-UA"/>
        </w:rPr>
        <w:t>і банківських установ: моногр. /за заг. ред.</w:t>
      </w:r>
      <w:r>
        <w:rPr>
          <w:rStyle w:val="30pt"/>
        </w:rPr>
        <w:t xml:space="preserve"> </w:t>
      </w:r>
      <w:r>
        <w:rPr>
          <w:rStyle w:val="385pt0pt"/>
        </w:rPr>
        <w:t>д</w:t>
      </w:r>
      <w:r>
        <w:rPr>
          <w:rStyle w:val="30pt"/>
        </w:rPr>
        <w:t xml:space="preserve">. </w:t>
      </w:r>
      <w:r>
        <w:rPr>
          <w:lang w:val="uk-UA" w:eastAsia="uk-UA" w:bidi="uk-UA"/>
        </w:rPr>
        <w:t>е. н., проф. А. О. Єпіфанова ; [А. О. Єпіфанов, Л. О. Пластун, В. С. Домбровський та ін.]. - Суми: ДВНЗ «УАБС НБУ», 2009. - 295 с.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rPr>
          <w:lang w:val="uk-UA" w:eastAsia="uk-UA" w:bidi="uk-UA"/>
        </w:rPr>
        <w:t xml:space="preserve"> </w:t>
      </w:r>
      <w:r>
        <w:t xml:space="preserve">Cross-border mergers and acquisitions: building momentum </w:t>
      </w:r>
      <w:r>
        <w:rPr>
          <w:lang w:val="uk-UA" w:eastAsia="uk-UA" w:bidi="uk-UA"/>
        </w:rPr>
        <w:t>[Електронний ресурс</w:t>
      </w:r>
      <w:r>
        <w:rPr>
          <w:lang w:val="uk-UA" w:eastAsia="uk-UA" w:bidi="uk-UA"/>
        </w:rPr>
        <w:t xml:space="preserve">] // </w:t>
      </w:r>
      <w:r>
        <w:t xml:space="preserve">Grant Thornton International Business Report 2012. - </w:t>
      </w:r>
      <w:r>
        <w:rPr>
          <w:lang w:val="uk-UA" w:eastAsia="uk-UA" w:bidi="uk-UA"/>
        </w:rPr>
        <w:t>Режим доступу</w:t>
      </w:r>
      <w:r>
        <w:t xml:space="preserve">: </w:t>
      </w:r>
      <w:hyperlink r:id="rId7" w:history="1">
        <w:r>
          <w:rPr>
            <w:rStyle w:val="a3"/>
          </w:rPr>
          <w:t>http://www.gti.org/</w:t>
        </w:r>
      </w:hyperlink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</w:pPr>
      <w:r>
        <w:t xml:space="preserve"> James A. Wilcox. The Increasing Integration and Competition of Financial Institutions and of Financial Regulation </w:t>
      </w:r>
      <w:r>
        <w:rPr>
          <w:lang w:val="uk-UA" w:eastAsia="uk-UA" w:bidi="uk-UA"/>
        </w:rPr>
        <w:t xml:space="preserve">/ </w:t>
      </w:r>
      <w:r>
        <w:t>James A. Wil</w:t>
      </w:r>
      <w:r>
        <w:t xml:space="preserve">cox </w:t>
      </w:r>
      <w:r>
        <w:rPr>
          <w:lang w:val="uk-UA" w:eastAsia="uk-UA" w:bidi="uk-UA"/>
        </w:rPr>
        <w:t xml:space="preserve">// </w:t>
      </w:r>
      <w:r>
        <w:t>Elsevier Press: Research in Finance. - 2005. - Vol. 22. - P. 215-238.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 w:hanging="400"/>
        <w:jc w:val="left"/>
      </w:pPr>
      <w:r>
        <w:t xml:space="preserve"> Jose Dario, Uribe Will. Financial Globalization Survive?</w:t>
      </w:r>
      <w:r>
        <w:rPr>
          <w:lang w:val="uk-UA" w:eastAsia="uk-UA" w:bidi="uk-UA"/>
        </w:rPr>
        <w:t xml:space="preserve">[Електроннийресурс]. </w:t>
      </w:r>
      <w:r>
        <w:t xml:space="preserve">- </w:t>
      </w:r>
      <w:r>
        <w:rPr>
          <w:lang w:val="uk-UA" w:eastAsia="uk-UA" w:bidi="uk-UA"/>
        </w:rPr>
        <w:t>Режим досту</w:t>
      </w:r>
      <w:r>
        <w:rPr>
          <w:lang w:val="uk-UA" w:eastAsia="uk-UA" w:bidi="uk-UA"/>
        </w:rPr>
        <w:softHyphen/>
        <w:t xml:space="preserve">пу : </w:t>
      </w:r>
      <w:hyperlink r:id="rId8" w:history="1">
        <w:r>
          <w:rPr>
            <w:rStyle w:val="a3"/>
          </w:rPr>
          <w:t>http://www. banrep. gov. co/documentos/presentaciones-discursos/Uribe/2012/jdu_jun_22_</w:t>
        </w:r>
      </w:hyperlink>
      <w:r>
        <w:t xml:space="preserve"> 2012.pdf.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250" w:lineRule="exact"/>
        <w:ind w:left="500" w:right="40"/>
      </w:pPr>
      <w:r>
        <w:t xml:space="preserve">Financial globalization and the rise of IPOs outside the U.S. </w:t>
      </w:r>
      <w:r>
        <w:rPr>
          <w:lang w:val="uk-UA" w:eastAsia="uk-UA" w:bidi="uk-UA"/>
        </w:rPr>
        <w:t xml:space="preserve">[Електронний ресурс] / </w:t>
      </w:r>
      <w:r>
        <w:t xml:space="preserve">Craig Doidge, G. Andrew Karolyi, Renй M. Stulz </w:t>
      </w:r>
      <w:r>
        <w:rPr>
          <w:lang w:val="uk-UA" w:eastAsia="uk-UA" w:bidi="uk-UA"/>
        </w:rPr>
        <w:t>//</w:t>
      </w:r>
      <w:r>
        <w:t xml:space="preserve">USC FBE finance seminar. - 2012. - </w:t>
      </w:r>
      <w:r>
        <w:rPr>
          <w:lang w:val="uk-UA" w:eastAsia="uk-UA" w:bidi="uk-UA"/>
        </w:rPr>
        <w:t>Режим досту</w:t>
      </w:r>
      <w:r>
        <w:rPr>
          <w:lang w:val="uk-UA" w:eastAsia="uk-UA" w:bidi="uk-UA"/>
        </w:rPr>
        <w:softHyphen/>
        <w:t xml:space="preserve">пу </w:t>
      </w:r>
      <w:r>
        <w:t xml:space="preserve">: </w:t>
      </w:r>
      <w:hyperlink r:id="rId9" w:history="1">
        <w:r>
          <w:rPr>
            <w:rStyle w:val="a3"/>
          </w:rPr>
          <w:t>http://www.usc.edu/schools/business/FBE/seminars/papers/F_9-14-12_STULZ.pdf.</w:t>
        </w:r>
      </w:hyperlink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/>
      </w:pPr>
      <w:r>
        <w:t xml:space="preserve"> Financial Globalization, Inequality</w:t>
      </w:r>
      <w:r>
        <w:t xml:space="preserve">, and the Rising of Public Debt </w:t>
      </w:r>
      <w:r>
        <w:rPr>
          <w:lang w:val="uk-UA" w:eastAsia="uk-UA" w:bidi="uk-UA"/>
        </w:rPr>
        <w:t>[Електронний ресурс]</w:t>
      </w:r>
      <w:r>
        <w:t xml:space="preserve">/Marina Azzimonti, Eva de Francisco, Vincenzo Quadrini. - London: Centre for Economic Policy Research, November 26, 2012. - 51 p. - </w:t>
      </w:r>
      <w:r>
        <w:rPr>
          <w:lang w:val="uk-UA" w:eastAsia="uk-UA" w:bidi="uk-UA"/>
        </w:rPr>
        <w:t xml:space="preserve">Режим доступу </w:t>
      </w:r>
      <w:r>
        <w:t xml:space="preserve">: </w:t>
      </w:r>
      <w:hyperlink r:id="rId10" w:history="1">
        <w:r>
          <w:rPr>
            <w:rStyle w:val="a3"/>
          </w:rPr>
          <w:t>htt</w:t>
        </w:r>
        <w:r>
          <w:rPr>
            <w:rStyle w:val="a3"/>
          </w:rPr>
          <w:t>p://www.frbatlanta.org/documents/news/</w:t>
        </w:r>
      </w:hyperlink>
      <w:r>
        <w:t xml:space="preserve"> conferences/12intl_economics/12intl_economics_quadrini.pdf.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/>
      </w:pPr>
      <w:r>
        <w:t xml:space="preserve"> Financial globalization: retreat or reset? </w:t>
      </w:r>
      <w:r>
        <w:rPr>
          <w:lang w:val="uk-UA" w:eastAsia="uk-UA" w:bidi="uk-UA"/>
        </w:rPr>
        <w:t xml:space="preserve">[Електроннийресурс] / </w:t>
      </w:r>
      <w:r>
        <w:t xml:space="preserve">McKinsey&amp;Company, 2013. - 92p. - </w:t>
      </w:r>
      <w:r>
        <w:rPr>
          <w:lang w:val="uk-UA" w:eastAsia="uk-UA" w:bidi="uk-UA"/>
        </w:rPr>
        <w:t>Режим доступу</w:t>
      </w:r>
      <w:r>
        <w:t>: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www.mckinsey.com/mgi.</w:t>
        </w:r>
      </w:hyperlink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/>
      </w:pPr>
      <w:r>
        <w:t xml:space="preserve"> Ravi Menon Financial globalisation: why, how and when? </w:t>
      </w:r>
      <w:r>
        <w:rPr>
          <w:lang w:val="uk-UA" w:eastAsia="uk-UA" w:bidi="uk-UA"/>
        </w:rPr>
        <w:t xml:space="preserve">// </w:t>
      </w:r>
      <w:r>
        <w:t>11th BIS Annual Conference «The future of financial globalisation»: Bank for International Settlements. - 2012. - 16-21 p.</w:t>
      </w:r>
    </w:p>
    <w:p w:rsidR="00A3206A" w:rsidRDefault="00865386">
      <w:pPr>
        <w:pStyle w:val="30"/>
        <w:framePr w:w="8880" w:h="9684" w:hRule="exact" w:wrap="around" w:vAnchor="page" w:hAnchor="page" w:x="1635" w:y="2280"/>
        <w:numPr>
          <w:ilvl w:val="0"/>
          <w:numId w:val="3"/>
        </w:numPr>
        <w:shd w:val="clear" w:color="auto" w:fill="auto"/>
        <w:spacing w:before="0" w:after="0" w:line="250" w:lineRule="exact"/>
        <w:ind w:left="500" w:right="40"/>
      </w:pPr>
      <w:r>
        <w:t xml:space="preserve"> Stephen Cecchetti Is globalisation great? </w:t>
      </w:r>
      <w:r>
        <w:rPr>
          <w:lang w:val="uk-UA" w:eastAsia="uk-UA" w:bidi="uk-UA"/>
        </w:rPr>
        <w:t xml:space="preserve">// </w:t>
      </w:r>
      <w:r>
        <w:t>11th BIS Annual Conference «The future of financial globalisation»: Bank for International Settlements. - 2012. - P. 1-13.</w:t>
      </w:r>
    </w:p>
    <w:p w:rsidR="00A3206A" w:rsidRDefault="00865386">
      <w:pPr>
        <w:pStyle w:val="32"/>
        <w:framePr w:wrap="around" w:vAnchor="page" w:hAnchor="page" w:x="1395" w:y="15293"/>
        <w:shd w:val="clear" w:color="auto" w:fill="auto"/>
        <w:spacing w:line="130" w:lineRule="exact"/>
        <w:ind w:left="20"/>
      </w:pPr>
      <w:r>
        <w:t xml:space="preserve">Наука молода </w:t>
      </w:r>
      <w:r>
        <w:rPr>
          <w:lang w:val="en-US" w:eastAsia="en-US" w:bidi="en-US"/>
        </w:rPr>
        <w:t>№ 19, 2013 p.</w:t>
      </w:r>
    </w:p>
    <w:p w:rsidR="00A3206A" w:rsidRDefault="00865386">
      <w:pPr>
        <w:pStyle w:val="a5"/>
        <w:framePr w:wrap="around" w:vAnchor="page" w:hAnchor="page" w:x="10179" w:y="15316"/>
        <w:shd w:val="clear" w:color="auto" w:fill="auto"/>
        <w:spacing w:before="0" w:line="170" w:lineRule="exact"/>
        <w:ind w:left="20"/>
      </w:pPr>
      <w:r>
        <w:rPr>
          <w:lang w:val="en-US" w:eastAsia="en-US" w:bidi="en-US"/>
        </w:rPr>
        <w:t>143</w:t>
      </w:r>
    </w:p>
    <w:p w:rsidR="00A3206A" w:rsidRDefault="00A3206A">
      <w:pPr>
        <w:rPr>
          <w:sz w:val="2"/>
          <w:szCs w:val="2"/>
        </w:rPr>
      </w:pPr>
    </w:p>
    <w:sectPr w:rsidR="00A3206A" w:rsidSect="00A3206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86" w:rsidRDefault="00865386" w:rsidP="00A3206A">
      <w:r>
        <w:separator/>
      </w:r>
    </w:p>
  </w:endnote>
  <w:endnote w:type="continuationSeparator" w:id="1">
    <w:p w:rsidR="00865386" w:rsidRDefault="00865386" w:rsidP="00A3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86" w:rsidRDefault="00865386"/>
  </w:footnote>
  <w:footnote w:type="continuationSeparator" w:id="1">
    <w:p w:rsidR="00865386" w:rsidRDefault="008653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914"/>
    <w:multiLevelType w:val="multilevel"/>
    <w:tmpl w:val="84D2DE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B3942"/>
    <w:multiLevelType w:val="multilevel"/>
    <w:tmpl w:val="BED0D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B6C14"/>
    <w:multiLevelType w:val="multilevel"/>
    <w:tmpl w:val="5D46D9B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206A"/>
    <w:rsid w:val="00496BA4"/>
    <w:rsid w:val="00865386"/>
    <w:rsid w:val="00A3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0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06A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A3206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A3206A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A3206A"/>
    <w:rPr>
      <w:rFonts w:ascii="Arial" w:eastAsia="Arial" w:hAnsi="Arial" w:cs="Arial"/>
      <w:b/>
      <w:bCs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21">
    <w:name w:val="Основний текст (2)_"/>
    <w:basedOn w:val="a0"/>
    <w:link w:val="22"/>
    <w:rsid w:val="00A3206A"/>
    <w:rPr>
      <w:rFonts w:ascii="Sylfaen" w:eastAsia="Sylfaen" w:hAnsi="Sylfaen" w:cs="Sylfae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">
    <w:name w:val="Основний текст (3)_"/>
    <w:basedOn w:val="a0"/>
    <w:link w:val="30"/>
    <w:rsid w:val="00A3206A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  <w:lang w:val="en-US" w:eastAsia="en-US" w:bidi="en-US"/>
    </w:rPr>
  </w:style>
  <w:style w:type="character" w:customStyle="1" w:styleId="a6">
    <w:name w:val="Основний текст_"/>
    <w:basedOn w:val="a0"/>
    <w:link w:val="a7"/>
    <w:rsid w:val="00A3206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A3206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">
    <w:name w:val="Колонтитул (3)_"/>
    <w:basedOn w:val="a0"/>
    <w:link w:val="32"/>
    <w:rsid w:val="00A3206A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23">
    <w:name w:val="Підпис до таблиці (2)_"/>
    <w:basedOn w:val="a0"/>
    <w:link w:val="24"/>
    <w:rsid w:val="00A3206A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a8">
    <w:name w:val="Основний текст"/>
    <w:basedOn w:val="a6"/>
    <w:rsid w:val="00A3206A"/>
    <w:rPr>
      <w:color w:val="000000"/>
      <w:w w:val="100"/>
      <w:position w:val="0"/>
      <w:lang w:val="uk-UA" w:eastAsia="uk-UA" w:bidi="uk-UA"/>
    </w:rPr>
  </w:style>
  <w:style w:type="character" w:customStyle="1" w:styleId="a9">
    <w:name w:val="Підпис до таблиці_"/>
    <w:basedOn w:val="a0"/>
    <w:link w:val="aa"/>
    <w:rsid w:val="00A3206A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5">
    <w:name w:val="Основний текст (5)_"/>
    <w:basedOn w:val="a0"/>
    <w:link w:val="50"/>
    <w:rsid w:val="00A3206A"/>
    <w:rPr>
      <w:rFonts w:ascii="Arial" w:eastAsia="Arial" w:hAnsi="Arial" w:cs="Arial"/>
      <w:b/>
      <w:bCs/>
      <w:i/>
      <w:iCs/>
      <w:smallCaps w:val="0"/>
      <w:strike w:val="0"/>
      <w:spacing w:val="-4"/>
      <w:sz w:val="18"/>
      <w:szCs w:val="18"/>
      <w:u w:val="none"/>
    </w:rPr>
  </w:style>
  <w:style w:type="character" w:customStyle="1" w:styleId="30pt">
    <w:name w:val="Основний текст (3) + Не курсив;Інтервал 0 pt"/>
    <w:basedOn w:val="3"/>
    <w:rsid w:val="00A3206A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385pt0pt">
    <w:name w:val="Основний текст (3) + 8;5 pt;Не курсив;Інтервал 0 pt"/>
    <w:basedOn w:val="3"/>
    <w:rsid w:val="00A3206A"/>
    <w:rPr>
      <w:i/>
      <w:iCs/>
      <w:color w:val="000000"/>
      <w:spacing w:val="2"/>
      <w:w w:val="100"/>
      <w:position w:val="0"/>
      <w:sz w:val="17"/>
      <w:szCs w:val="17"/>
      <w:lang w:val="uk-UA" w:eastAsia="uk-UA" w:bidi="uk-UA"/>
    </w:rPr>
  </w:style>
  <w:style w:type="paragraph" w:customStyle="1" w:styleId="20">
    <w:name w:val="Колонтитул (2)"/>
    <w:basedOn w:val="a"/>
    <w:link w:val="2"/>
    <w:rsid w:val="00A3206A"/>
    <w:pPr>
      <w:shd w:val="clear" w:color="auto" w:fill="FFFFFF"/>
      <w:spacing w:after="60" w:line="0" w:lineRule="atLeast"/>
    </w:pPr>
    <w:rPr>
      <w:rFonts w:ascii="Sylfaen" w:eastAsia="Sylfaen" w:hAnsi="Sylfaen" w:cs="Sylfaen"/>
      <w:spacing w:val="2"/>
      <w:sz w:val="15"/>
      <w:szCs w:val="15"/>
    </w:rPr>
  </w:style>
  <w:style w:type="paragraph" w:customStyle="1" w:styleId="a5">
    <w:name w:val="Колонтитул"/>
    <w:basedOn w:val="a"/>
    <w:link w:val="a4"/>
    <w:rsid w:val="00A3206A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10">
    <w:name w:val="Заголовок №1"/>
    <w:basedOn w:val="a"/>
    <w:link w:val="1"/>
    <w:rsid w:val="00A3206A"/>
    <w:pPr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b/>
      <w:bCs/>
      <w:i/>
      <w:iCs/>
      <w:spacing w:val="-4"/>
      <w:sz w:val="18"/>
      <w:szCs w:val="18"/>
    </w:rPr>
  </w:style>
  <w:style w:type="paragraph" w:customStyle="1" w:styleId="22">
    <w:name w:val="Основний текст (2)"/>
    <w:basedOn w:val="a"/>
    <w:link w:val="21"/>
    <w:rsid w:val="00A3206A"/>
    <w:pPr>
      <w:shd w:val="clear" w:color="auto" w:fill="FFFFFF"/>
      <w:spacing w:before="420" w:after="420" w:line="298" w:lineRule="exact"/>
      <w:jc w:val="center"/>
    </w:pPr>
    <w:rPr>
      <w:rFonts w:ascii="Sylfaen" w:eastAsia="Sylfaen" w:hAnsi="Sylfaen" w:cs="Sylfaen"/>
      <w:b/>
      <w:bCs/>
      <w:spacing w:val="5"/>
      <w:sz w:val="20"/>
      <w:szCs w:val="20"/>
    </w:rPr>
  </w:style>
  <w:style w:type="paragraph" w:customStyle="1" w:styleId="30">
    <w:name w:val="Основний текст (3)"/>
    <w:basedOn w:val="a"/>
    <w:link w:val="3"/>
    <w:rsid w:val="00A3206A"/>
    <w:pPr>
      <w:shd w:val="clear" w:color="auto" w:fill="FFFFFF"/>
      <w:spacing w:before="420" w:after="240" w:line="254" w:lineRule="exact"/>
      <w:ind w:hanging="480"/>
      <w:jc w:val="both"/>
    </w:pPr>
    <w:rPr>
      <w:rFonts w:ascii="Arial" w:eastAsia="Arial" w:hAnsi="Arial" w:cs="Arial"/>
      <w:i/>
      <w:iCs/>
      <w:spacing w:val="-1"/>
      <w:sz w:val="18"/>
      <w:szCs w:val="18"/>
      <w:lang w:val="en-US" w:eastAsia="en-US" w:bidi="en-US"/>
    </w:rPr>
  </w:style>
  <w:style w:type="paragraph" w:customStyle="1" w:styleId="a7">
    <w:name w:val="Основний текст"/>
    <w:basedOn w:val="a"/>
    <w:link w:val="a6"/>
    <w:rsid w:val="00A3206A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A3206A"/>
    <w:pPr>
      <w:shd w:val="clear" w:color="auto" w:fill="FFFFFF"/>
      <w:spacing w:before="240" w:line="0" w:lineRule="atLeast"/>
    </w:pPr>
    <w:rPr>
      <w:rFonts w:ascii="Sylfaen" w:eastAsia="Sylfaen" w:hAnsi="Sylfaen" w:cs="Sylfaen"/>
      <w:spacing w:val="2"/>
      <w:sz w:val="14"/>
      <w:szCs w:val="14"/>
    </w:rPr>
  </w:style>
  <w:style w:type="paragraph" w:customStyle="1" w:styleId="32">
    <w:name w:val="Колонтитул (3)"/>
    <w:basedOn w:val="a"/>
    <w:link w:val="31"/>
    <w:rsid w:val="00A3206A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24">
    <w:name w:val="Підпис до таблиці (2)"/>
    <w:basedOn w:val="a"/>
    <w:link w:val="23"/>
    <w:rsid w:val="00A3206A"/>
    <w:pPr>
      <w:shd w:val="clear" w:color="auto" w:fill="FFFFFF"/>
      <w:spacing w:line="250" w:lineRule="exact"/>
    </w:pPr>
    <w:rPr>
      <w:rFonts w:ascii="Arial" w:eastAsia="Arial" w:hAnsi="Arial" w:cs="Arial"/>
      <w:i/>
      <w:iCs/>
      <w:spacing w:val="-1"/>
      <w:sz w:val="18"/>
      <w:szCs w:val="18"/>
    </w:rPr>
  </w:style>
  <w:style w:type="paragraph" w:customStyle="1" w:styleId="aa">
    <w:name w:val="Підпис до таблиці"/>
    <w:basedOn w:val="a"/>
    <w:link w:val="a9"/>
    <w:rsid w:val="00A3206A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5"/>
      <w:szCs w:val="15"/>
    </w:rPr>
  </w:style>
  <w:style w:type="paragraph" w:customStyle="1" w:styleId="50">
    <w:name w:val="Основний текст (5)"/>
    <w:basedOn w:val="a"/>
    <w:link w:val="5"/>
    <w:rsid w:val="00A3206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i/>
      <w:i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rep.gov.co/documentos/presentaciones-discursos/Uribe/2012/jdu_jun_22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t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kinsey.com/mgi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batlanta.org/documents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.edu/schools/business/FBE/seminars/papers/F_9-14-12_STULZ.pd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9424</Words>
  <Characters>5373</Characters>
  <Application>Microsoft Office Word</Application>
  <DocSecurity>0</DocSecurity>
  <Lines>44</Lines>
  <Paragraphs>29</Paragraphs>
  <ScaleCrop>false</ScaleCrop>
  <Company>Microsoft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2017-06-14T09:39:00Z</dcterms:created>
  <dcterms:modified xsi:type="dcterms:W3CDTF">2017-06-14T09:40:00Z</dcterms:modified>
</cp:coreProperties>
</file>