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FF6" w:rsidRDefault="00F40C79">
      <w:pPr>
        <w:pStyle w:val="20"/>
        <w:framePr w:w="3950" w:h="461" w:hRule="exact" w:wrap="around" w:vAnchor="page" w:hAnchor="page" w:x="1427" w:y="1104"/>
        <w:shd w:val="clear" w:color="auto" w:fill="auto"/>
        <w:spacing w:after="51" w:line="150" w:lineRule="exact"/>
        <w:ind w:left="40"/>
      </w:pPr>
      <w:r>
        <w:t>С. Лобовинська</w:t>
      </w:r>
    </w:p>
    <w:p w:rsidR="00862FF6" w:rsidRDefault="00F40C79">
      <w:pPr>
        <w:pStyle w:val="a5"/>
        <w:framePr w:w="3950" w:h="461" w:hRule="exact" w:wrap="around" w:vAnchor="page" w:hAnchor="page" w:x="1427" w:y="1104"/>
        <w:shd w:val="clear" w:color="auto" w:fill="auto"/>
        <w:spacing w:before="0" w:line="160" w:lineRule="exact"/>
        <w:ind w:left="40"/>
      </w:pPr>
      <w:r>
        <w:t>Аналітика проблемної заборгованості .</w:t>
      </w:r>
    </w:p>
    <w:p w:rsidR="00862FF6" w:rsidRDefault="00F40C79">
      <w:pPr>
        <w:pStyle w:val="22"/>
        <w:framePr w:w="9096" w:h="12530" w:hRule="exact" w:wrap="around" w:vAnchor="page" w:hAnchor="page" w:x="1427" w:y="2247"/>
        <w:shd w:val="clear" w:color="auto" w:fill="auto"/>
        <w:spacing w:after="404" w:line="180" w:lineRule="exact"/>
        <w:ind w:right="20"/>
      </w:pPr>
      <w:bookmarkStart w:id="0" w:name="bookmark0"/>
      <w:r>
        <w:t>Софія ЛОБОЗИНСЬКА</w:t>
      </w:r>
      <w:bookmarkEnd w:id="0"/>
    </w:p>
    <w:p w:rsidR="00862FF6" w:rsidRDefault="00F40C79">
      <w:pPr>
        <w:pStyle w:val="24"/>
        <w:framePr w:w="9096" w:h="12530" w:hRule="exact" w:wrap="around" w:vAnchor="page" w:hAnchor="page" w:x="1427" w:y="2247"/>
        <w:shd w:val="clear" w:color="auto" w:fill="auto"/>
        <w:spacing w:before="0" w:after="222"/>
      </w:pPr>
      <w:r>
        <w:t>АНАЛІТИКА ПРОБЛЕМНОЇ ЗАБОРГОВАНОСТІ БАНКІВСЬКИХ СИСТЕМ КРАЇН, ЩО РОЗВИВАЮТЬСЯ, ТА ПЕРСПЕКТИВИ ЇЇ РЕГУЛЯЦІЇ В УКРАЇНІ</w:t>
      </w:r>
    </w:p>
    <w:p w:rsidR="00862FF6" w:rsidRDefault="00F40C79">
      <w:pPr>
        <w:pStyle w:val="30"/>
        <w:framePr w:w="9096" w:h="12530" w:hRule="exact" w:wrap="around" w:vAnchor="page" w:hAnchor="page" w:x="1427" w:y="2247"/>
        <w:shd w:val="clear" w:color="auto" w:fill="auto"/>
        <w:spacing w:before="0"/>
        <w:ind w:left="20" w:right="20" w:firstLine="300"/>
      </w:pPr>
      <w:r>
        <w:t xml:space="preserve">Проаналізовано рівень проблемних кредитів та обсягів формування страхових резервів за ними з часовим лагом 6 років (2004-2009 </w:t>
      </w:r>
      <w:r>
        <w:rPr>
          <w:lang w:val="en-US" w:eastAsia="en-US" w:bidi="en-US"/>
        </w:rPr>
        <w:t xml:space="preserve">pp.) </w:t>
      </w:r>
      <w:r>
        <w:t>у країнах, що розвиваються (Китай, Польща, Росія, Україна). Дано оцінку ефективності регулятивних процесів щодо боротьби</w:t>
      </w:r>
      <w:r>
        <w:rPr>
          <w:rStyle w:val="30pt"/>
        </w:rPr>
        <w:t xml:space="preserve"> з </w:t>
      </w:r>
      <w:r>
        <w:t>пр</w:t>
      </w:r>
      <w:r>
        <w:t>облемною заборгованістю банківського сектору, які застосовувалися цими країнами. Розроблено й апробовано кореляційно- регресійну модель встановлення причинно-наслідкового зв’язку між результативним показником - часткою недіючих кредитів у кредитному портфе</w:t>
      </w:r>
      <w:r>
        <w:t>лі банківської системи та незалежними змінними. Надано рекомендації щодо механізмів мінімізації обсягів проблемної'кредитної'заборгованості.</w:t>
      </w:r>
    </w:p>
    <w:p w:rsidR="00862FF6" w:rsidRDefault="00F40C79">
      <w:pPr>
        <w:pStyle w:val="30"/>
        <w:framePr w:w="9096" w:h="12530" w:hRule="exact" w:wrap="around" w:vAnchor="page" w:hAnchor="page" w:x="1427" w:y="2247"/>
        <w:shd w:val="clear" w:color="auto" w:fill="auto"/>
        <w:spacing w:before="0"/>
        <w:ind w:left="20" w:right="20" w:firstLine="300"/>
      </w:pPr>
      <w:r>
        <w:rPr>
          <w:lang w:val="en-US" w:eastAsia="en-US" w:bidi="en-US"/>
        </w:rPr>
        <w:t>The analysis of the level of problem loans and the volumes of forming the insurance reserves for them with a time l</w:t>
      </w:r>
      <w:r>
        <w:rPr>
          <w:lang w:val="en-US" w:eastAsia="en-US" w:bidi="en-US"/>
        </w:rPr>
        <w:t>ag of 6 years (2004-2009) in developing countries (China, Poland, Russia, Ukraine) was made. The estimation of efficiency of regulatory processes to combat bad debts of the banking sector which were applied by these countries was provided. The correlation-</w:t>
      </w:r>
      <w:r>
        <w:rPr>
          <w:lang w:val="en-US" w:eastAsia="en-US" w:bidi="en-US"/>
        </w:rPr>
        <w:t>regression model of establishing cause-effect relationship between effective index - the share of non-performing loans in the loan portfolio of the banking system and the independent variables was developed and tested. The recommendations on the mechanisms</w:t>
      </w:r>
      <w:r>
        <w:rPr>
          <w:lang w:val="en-US" w:eastAsia="en-US" w:bidi="en-US"/>
        </w:rPr>
        <w:t xml:space="preserve"> to minimize the amount of bad credit debt were given.</w:t>
      </w:r>
    </w:p>
    <w:p w:rsidR="00862FF6" w:rsidRDefault="00F40C79">
      <w:pPr>
        <w:pStyle w:val="a7"/>
        <w:framePr w:w="9096" w:h="12530" w:hRule="exact" w:wrap="around" w:vAnchor="page" w:hAnchor="page" w:x="1427" w:y="2247"/>
        <w:shd w:val="clear" w:color="auto" w:fill="auto"/>
        <w:spacing w:before="0"/>
        <w:ind w:left="20" w:right="20" w:firstLine="300"/>
      </w:pPr>
      <w:r>
        <w:t>Уряди багатьох країн зіштовхнулися з проблемою мінімізації частки недіючих кредитів у кредитному портфелі банківської системи. Значний обсяг проблемних кредитів гальмує інвестиційні вливання в економік</w:t>
      </w:r>
      <w:r>
        <w:t xml:space="preserve">у, що негативно впливає на темпи і масштаби суспільного відтворення. Недіючі кредити також виступають дестабілізуючим чинником фінансової стійкості країни, роблячи її вразливою до зовнішніх та внутрішніх загроз. З огляду на це існує потреба з’ясувати, від </w:t>
      </w:r>
      <w:r>
        <w:t>яких факторів залежить величина частки недіючих кредитів, і яким має бути механізм регулювання, щоби проблемна заборгованість планомірно зменшувалася з одночасним зростанням обсягів кредитування для подолання рецесії.</w:t>
      </w:r>
    </w:p>
    <w:p w:rsidR="00862FF6" w:rsidRDefault="00F40C79">
      <w:pPr>
        <w:pStyle w:val="a7"/>
        <w:framePr w:w="9096" w:h="12530" w:hRule="exact" w:wrap="around" w:vAnchor="page" w:hAnchor="page" w:x="1427" w:y="2247"/>
        <w:shd w:val="clear" w:color="auto" w:fill="auto"/>
        <w:spacing w:before="0"/>
        <w:ind w:left="20" w:right="20" w:firstLine="300"/>
      </w:pPr>
      <w:r>
        <w:t>Вивченням причин появи проблемних кред</w:t>
      </w:r>
      <w:r>
        <w:t>итів, методів їх повернення, шляхів мінімізації та діагностики кредитного портфеля присвячені праці багатьох вітчизняних та закордонних учених, зокрема О. Барановського, Р. Бека, Н. Борківця, Р. Герасименко, О. Лаврушина, Р. Набока, П. Нікі- форова, В. Міщ</w:t>
      </w:r>
      <w:r>
        <w:t>енка, А. Мороза, Л. Примостки, Н. Шелудько, П. Якубіка. Опираючись на наукові дослідження та вивчення практики регулювання проблемної заборгованості за кредитними операці</w:t>
      </w:r>
      <w:r>
        <w:softHyphen/>
        <w:t>ями урядами зарубіжних країн, необхідно поглибити існуючі напрацювання з допомогою за</w:t>
      </w:r>
      <w:r>
        <w:t>стосування математичного інструментарію та окреслити можливі методи регулювання проблемної заборгованості.</w:t>
      </w:r>
    </w:p>
    <w:p w:rsidR="00862FF6" w:rsidRDefault="00F40C79">
      <w:pPr>
        <w:pStyle w:val="a7"/>
        <w:framePr w:w="9096" w:h="12530" w:hRule="exact" w:wrap="around" w:vAnchor="page" w:hAnchor="page" w:x="1427" w:y="2247"/>
        <w:shd w:val="clear" w:color="auto" w:fill="auto"/>
        <w:spacing w:before="0"/>
        <w:ind w:left="20" w:right="20" w:firstLine="300"/>
      </w:pPr>
      <w:r>
        <w:t xml:space="preserve">Мета статті - дослідження особливостей державного регулювання банківського сектору країн, що розвиваються, та його вплив на обсяги проблемної </w:t>
      </w:r>
      <w:r>
        <w:t>заборгованості банків, а також встановлення при- чинно-наслідкових зв’язків результативного показника - частки недіючих кредитів у кредитному портфелі банків України та незалежних змінних з використанням кореляційно-регресійного аналізу, формування констру</w:t>
      </w:r>
      <w:r>
        <w:t>ктивних пропозицій щодо регулювання проблемної заборгованості банків.</w:t>
      </w:r>
    </w:p>
    <w:p w:rsidR="00862FF6" w:rsidRDefault="00F40C79">
      <w:pPr>
        <w:pStyle w:val="a7"/>
        <w:framePr w:w="9096" w:h="12530" w:hRule="exact" w:wrap="around" w:vAnchor="page" w:hAnchor="page" w:x="1427" w:y="2247"/>
        <w:shd w:val="clear" w:color="auto" w:fill="auto"/>
        <w:spacing w:before="0"/>
        <w:ind w:left="20" w:right="20" w:firstLine="300"/>
      </w:pPr>
      <w:r>
        <w:t>Банківські системи багатьох країн проходять випробування на стійкість в умовах фінансової кризи. Особливо вразливими до несприятливого фінансового середовища є країни, що розвиваються. Д</w:t>
      </w:r>
      <w:r>
        <w:t>о них належить Китай, Польща, Росія та Україна. Кожна із названих країн по-різному підійшла до подолання власних проблем в економіці, відповідно ефективність реалізації фінансової політики є різною.</w:t>
      </w:r>
    </w:p>
    <w:p w:rsidR="00862FF6" w:rsidRDefault="00F40C79">
      <w:pPr>
        <w:pStyle w:val="a7"/>
        <w:framePr w:w="9096" w:h="12530" w:hRule="exact" w:wrap="around" w:vAnchor="page" w:hAnchor="page" w:x="1427" w:y="2247"/>
        <w:shd w:val="clear" w:color="auto" w:fill="auto"/>
        <w:spacing w:before="0"/>
        <w:ind w:left="20" w:right="20" w:firstLine="300"/>
      </w:pPr>
      <w:r>
        <w:t>Найкращу динаміку підвищення ефективності регулювання бан</w:t>
      </w:r>
      <w:r>
        <w:t xml:space="preserve">ківської системи показав Китай. Доцільно зауважити, що банківські системи України та Китаю стабільно впродовжтрьох років </w:t>
      </w:r>
      <w:r>
        <w:rPr>
          <w:lang w:val="en-US" w:eastAsia="en-US" w:bidi="en-US"/>
        </w:rPr>
        <w:t>(2004</w:t>
      </w:r>
      <w:r>
        <w:rPr>
          <w:lang w:val="en-US" w:eastAsia="en-US" w:bidi="en-US"/>
        </w:rPr>
        <w:softHyphen/>
        <w:t>2007</w:t>
      </w:r>
      <w:r>
        <w:t xml:space="preserve"> </w:t>
      </w:r>
      <w:r>
        <w:rPr>
          <w:lang w:val="en-US" w:eastAsia="en-US" w:bidi="en-US"/>
        </w:rPr>
        <w:t xml:space="preserve">pp.) </w:t>
      </w:r>
      <w:r>
        <w:t>за основними фінансовими індикаторами, такими як рентабельність власного капіталу (%),</w:t>
      </w:r>
    </w:p>
    <w:p w:rsidR="00862FF6" w:rsidRDefault="00F40C79">
      <w:pPr>
        <w:pStyle w:val="40"/>
        <w:framePr w:wrap="around" w:vAnchor="page" w:hAnchor="page" w:x="1427" w:y="15020"/>
        <w:shd w:val="clear" w:color="auto" w:fill="auto"/>
        <w:spacing w:before="0" w:line="140" w:lineRule="exact"/>
        <w:ind w:left="20"/>
      </w:pPr>
      <w:r>
        <w:t>© Софія Аобозинська, 2013.</w:t>
      </w:r>
    </w:p>
    <w:p w:rsidR="00862FF6" w:rsidRDefault="00F40C79">
      <w:pPr>
        <w:pStyle w:val="a5"/>
        <w:framePr w:wrap="around" w:vAnchor="page" w:hAnchor="page" w:x="1407" w:y="15596"/>
        <w:shd w:val="clear" w:color="auto" w:fill="auto"/>
        <w:spacing w:before="0" w:line="160" w:lineRule="exact"/>
        <w:ind w:left="20"/>
      </w:pPr>
      <w:r>
        <w:t>106</w:t>
      </w:r>
    </w:p>
    <w:p w:rsidR="00862FF6" w:rsidRDefault="00F40C79">
      <w:pPr>
        <w:pStyle w:val="32"/>
        <w:framePr w:wrap="around" w:vAnchor="page" w:hAnchor="page" w:x="8329" w:y="15596"/>
        <w:shd w:val="clear" w:color="auto" w:fill="auto"/>
        <w:spacing w:line="130" w:lineRule="exact"/>
        <w:ind w:left="20"/>
      </w:pPr>
      <w:r>
        <w:t>Н</w:t>
      </w:r>
      <w:r>
        <w:t>аука молода № 19, 2013 р.</w:t>
      </w:r>
    </w:p>
    <w:p w:rsidR="00862FF6" w:rsidRDefault="00862FF6">
      <w:pPr>
        <w:rPr>
          <w:sz w:val="2"/>
          <w:szCs w:val="2"/>
        </w:rPr>
        <w:sectPr w:rsidR="00862FF6">
          <w:pgSz w:w="11909" w:h="16838"/>
          <w:pgMar w:top="0" w:right="0" w:bottom="0" w:left="0" w:header="0" w:footer="3" w:gutter="0"/>
          <w:cols w:space="720"/>
          <w:noEndnote/>
          <w:docGrid w:linePitch="360"/>
        </w:sectPr>
      </w:pPr>
    </w:p>
    <w:p w:rsidR="00862FF6" w:rsidRDefault="00F40C79">
      <w:pPr>
        <w:pStyle w:val="a5"/>
        <w:framePr w:wrap="around" w:vAnchor="page" w:hAnchor="page" w:x="5288" w:y="1308"/>
        <w:shd w:val="clear" w:color="auto" w:fill="auto"/>
        <w:spacing w:before="0" w:line="160" w:lineRule="exact"/>
        <w:ind w:left="20"/>
      </w:pPr>
      <w:r>
        <w:lastRenderedPageBreak/>
        <w:t>Перспективи розвитку фінансово-кредитної системи</w:t>
      </w:r>
    </w:p>
    <w:p w:rsidR="00862FF6" w:rsidRDefault="00F40C79">
      <w:pPr>
        <w:pStyle w:val="a7"/>
        <w:framePr w:w="9086" w:h="2281" w:hRule="exact" w:wrap="around" w:vAnchor="page" w:hAnchor="page" w:x="1424" w:y="1718"/>
        <w:shd w:val="clear" w:color="auto" w:fill="auto"/>
        <w:spacing w:before="0"/>
        <w:ind w:left="20" w:right="20"/>
      </w:pPr>
      <w:r>
        <w:t>рентабельність активів (%),частка власного капіталу в активах (%), достатність регулятивного капі</w:t>
      </w:r>
      <w:r>
        <w:softHyphen/>
        <w:t xml:space="preserve">талу (%), частка недіючих кредитів у загальних кредитах (%), </w:t>
      </w:r>
      <w:r>
        <w:t>частка покриття страховими резервами недіючих кредитів (%), ідентифіковано як банківські системи з найнижчим рівнем ефективності.</w:t>
      </w:r>
    </w:p>
    <w:p w:rsidR="00862FF6" w:rsidRDefault="00F40C79">
      <w:pPr>
        <w:pStyle w:val="a7"/>
        <w:framePr w:w="9086" w:h="2281" w:hRule="exact" w:wrap="around" w:vAnchor="page" w:hAnchor="page" w:x="1424" w:y="1718"/>
        <w:shd w:val="clear" w:color="auto" w:fill="auto"/>
        <w:spacing w:before="0"/>
        <w:ind w:left="20" w:right="20" w:firstLine="280"/>
      </w:pPr>
      <w:r>
        <w:t xml:space="preserve">Однак аналізуючи відносні показники фінансових індикаторів, можна спостерігати тенденції щодо покращення позицій банківських </w:t>
      </w:r>
      <w:r>
        <w:t>систем України та Китаю (частка недіючих кредитів зменшувалася: в Україні у 2004 р. вона становила 30%, у 2005 р. - 19,6%, у 2006 р. - 17,8%, у Китаї: 2004 р. - 13,2%, у 2005 р. - 8,6%, у 2006 р. - 7,1%, а частка покриття страховими резервами проблемної за</w:t>
      </w:r>
      <w:r>
        <w:t>боргова</w:t>
      </w:r>
      <w:r>
        <w:softHyphen/>
        <w:t xml:space="preserve">ності за кредитами зростала: в Україні у 2004 р. вона становила - 21,1%, у 2005 р. - 25,0%, у 2006 р.- 23,1%, у Китаї: 2004 р. - 14,2%, у 2005 р. - 24,8%, у 2006 </w:t>
      </w:r>
      <w:r>
        <w:rPr>
          <w:lang w:val="en-US" w:eastAsia="en-US" w:bidi="en-US"/>
        </w:rPr>
        <w:t xml:space="preserve">p.- </w:t>
      </w:r>
      <w:r>
        <w:t>34,3%) (табл. 1).</w:t>
      </w:r>
    </w:p>
    <w:p w:rsidR="00862FF6" w:rsidRDefault="00F40C79">
      <w:pPr>
        <w:pStyle w:val="a9"/>
        <w:framePr w:w="898" w:h="176" w:hRule="exact" w:wrap="around" w:vAnchor="page" w:hAnchor="page" w:x="9599" w:y="4169"/>
        <w:shd w:val="clear" w:color="auto" w:fill="auto"/>
        <w:spacing w:line="160" w:lineRule="exact"/>
      </w:pPr>
      <w:r>
        <w:t>Таблиця 1</w:t>
      </w:r>
    </w:p>
    <w:p w:rsidR="00862FF6" w:rsidRDefault="00F40C79">
      <w:pPr>
        <w:pStyle w:val="a7"/>
        <w:framePr w:w="9130" w:h="216" w:hRule="exact" w:wrap="around" w:vAnchor="page" w:hAnchor="page" w:x="1405" w:y="4414"/>
        <w:shd w:val="clear" w:color="auto" w:fill="auto"/>
        <w:spacing w:before="0" w:line="160" w:lineRule="exact"/>
        <w:ind w:left="100"/>
        <w:jc w:val="left"/>
      </w:pPr>
      <w:r>
        <w:t>Фінансові індикатори банківських систем, % [1]</w:t>
      </w:r>
    </w:p>
    <w:tbl>
      <w:tblPr>
        <w:tblOverlap w:val="never"/>
        <w:tblW w:w="0" w:type="auto"/>
        <w:tblLayout w:type="fixed"/>
        <w:tblCellMar>
          <w:left w:w="10" w:type="dxa"/>
          <w:right w:w="10" w:type="dxa"/>
        </w:tblCellMar>
        <w:tblLook w:val="04A0"/>
      </w:tblPr>
      <w:tblGrid>
        <w:gridCol w:w="4022"/>
        <w:gridCol w:w="835"/>
        <w:gridCol w:w="835"/>
        <w:gridCol w:w="835"/>
        <w:gridCol w:w="835"/>
        <w:gridCol w:w="835"/>
        <w:gridCol w:w="845"/>
      </w:tblGrid>
      <w:tr w:rsidR="00862FF6">
        <w:tblPrEx>
          <w:tblCellMar>
            <w:top w:w="0" w:type="dxa"/>
            <w:bottom w:w="0" w:type="dxa"/>
          </w:tblCellMar>
        </w:tblPrEx>
        <w:trPr>
          <w:trHeight w:hRule="exact" w:val="259"/>
        </w:trPr>
        <w:tc>
          <w:tcPr>
            <w:tcW w:w="4022"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jc w:val="center"/>
            </w:pPr>
            <w:r>
              <w:rPr>
                <w:rStyle w:val="75pt0pt"/>
              </w:rPr>
              <w:t>Країна</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left="220"/>
              <w:jc w:val="left"/>
            </w:pPr>
            <w:r>
              <w:rPr>
                <w:rStyle w:val="75pt0pt"/>
              </w:rPr>
              <w:t>2004</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left="220"/>
              <w:jc w:val="left"/>
            </w:pPr>
            <w:r>
              <w:rPr>
                <w:rStyle w:val="75pt0pt"/>
              </w:rPr>
              <w:t>2005</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left="220"/>
              <w:jc w:val="left"/>
            </w:pPr>
            <w:r>
              <w:rPr>
                <w:rStyle w:val="75pt0pt"/>
              </w:rPr>
              <w:t>2006</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left="220"/>
              <w:jc w:val="left"/>
            </w:pPr>
            <w:r>
              <w:rPr>
                <w:rStyle w:val="75pt0pt"/>
              </w:rPr>
              <w:t>2007</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left="220"/>
              <w:jc w:val="left"/>
            </w:pPr>
            <w:r>
              <w:rPr>
                <w:rStyle w:val="75pt0pt"/>
              </w:rPr>
              <w:t>2008</w:t>
            </w:r>
          </w:p>
        </w:tc>
        <w:tc>
          <w:tcPr>
            <w:tcW w:w="845" w:type="dxa"/>
            <w:tcBorders>
              <w:top w:val="single" w:sz="4" w:space="0" w:color="auto"/>
              <w:left w:val="single" w:sz="4" w:space="0" w:color="auto"/>
              <w:righ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left="220"/>
              <w:jc w:val="left"/>
            </w:pPr>
            <w:r>
              <w:rPr>
                <w:rStyle w:val="75pt0pt"/>
              </w:rPr>
              <w:t>2009</w:t>
            </w:r>
          </w:p>
        </w:tc>
      </w:tr>
      <w:tr w:rsidR="00862FF6">
        <w:tblPrEx>
          <w:tblCellMar>
            <w:top w:w="0" w:type="dxa"/>
            <w:bottom w:w="0" w:type="dxa"/>
          </w:tblCellMar>
        </w:tblPrEx>
        <w:trPr>
          <w:trHeight w:hRule="exact" w:val="408"/>
        </w:trPr>
        <w:tc>
          <w:tcPr>
            <w:tcW w:w="9042" w:type="dxa"/>
            <w:gridSpan w:val="7"/>
            <w:tcBorders>
              <w:top w:val="single" w:sz="4" w:space="0" w:color="auto"/>
              <w:left w:val="single" w:sz="4" w:space="0" w:color="auto"/>
              <w:right w:val="single" w:sz="4" w:space="0" w:color="auto"/>
            </w:tcBorders>
            <w:shd w:val="clear" w:color="auto" w:fill="FFFFFF"/>
            <w:vAlign w:val="center"/>
          </w:tcPr>
          <w:p w:rsidR="00862FF6" w:rsidRDefault="00F40C79">
            <w:pPr>
              <w:pStyle w:val="a7"/>
              <w:framePr w:w="9043" w:h="4541" w:wrap="around" w:vAnchor="page" w:hAnchor="page" w:x="1429" w:y="4899"/>
              <w:shd w:val="clear" w:color="auto" w:fill="auto"/>
              <w:spacing w:before="0" w:line="150" w:lineRule="exact"/>
              <w:jc w:val="center"/>
            </w:pPr>
            <w:r>
              <w:rPr>
                <w:rStyle w:val="75pt0pt"/>
              </w:rPr>
              <w:t>Частки недіючих кредитів у кредитному портфелі банківських систем, %</w:t>
            </w:r>
          </w:p>
        </w:tc>
      </w:tr>
      <w:tr w:rsidR="00862FF6">
        <w:tblPrEx>
          <w:tblCellMar>
            <w:top w:w="0" w:type="dxa"/>
            <w:bottom w:w="0" w:type="dxa"/>
          </w:tblCellMar>
        </w:tblPrEx>
        <w:trPr>
          <w:trHeight w:hRule="exact" w:val="259"/>
        </w:trPr>
        <w:tc>
          <w:tcPr>
            <w:tcW w:w="4022"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left="120"/>
              <w:jc w:val="left"/>
            </w:pPr>
            <w:r>
              <w:rPr>
                <w:rStyle w:val="75pt0pt0"/>
              </w:rPr>
              <w:t>Польща</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14,9</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11,0</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7,4</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5,2</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4,4</w:t>
            </w:r>
          </w:p>
        </w:tc>
        <w:tc>
          <w:tcPr>
            <w:tcW w:w="845" w:type="dxa"/>
            <w:tcBorders>
              <w:top w:val="single" w:sz="4" w:space="0" w:color="auto"/>
              <w:left w:val="single" w:sz="4" w:space="0" w:color="auto"/>
              <w:righ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20"/>
              <w:jc w:val="right"/>
            </w:pPr>
            <w:r>
              <w:rPr>
                <w:rStyle w:val="75pt0pt0"/>
              </w:rPr>
              <w:t>7,0</w:t>
            </w:r>
          </w:p>
        </w:tc>
      </w:tr>
      <w:tr w:rsidR="00862FF6">
        <w:tblPrEx>
          <w:tblCellMar>
            <w:top w:w="0" w:type="dxa"/>
            <w:bottom w:w="0" w:type="dxa"/>
          </w:tblCellMar>
        </w:tblPrEx>
        <w:trPr>
          <w:trHeight w:hRule="exact" w:val="259"/>
        </w:trPr>
        <w:tc>
          <w:tcPr>
            <w:tcW w:w="4022"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left="120"/>
              <w:jc w:val="left"/>
            </w:pPr>
            <w:r>
              <w:rPr>
                <w:rStyle w:val="75pt0pt0"/>
              </w:rPr>
              <w:t>Росія</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3,3</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2,6</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2,4</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2,5</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3,8</w:t>
            </w:r>
          </w:p>
        </w:tc>
        <w:tc>
          <w:tcPr>
            <w:tcW w:w="845" w:type="dxa"/>
            <w:tcBorders>
              <w:top w:val="single" w:sz="4" w:space="0" w:color="auto"/>
              <w:left w:val="single" w:sz="4" w:space="0" w:color="auto"/>
              <w:righ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20"/>
              <w:jc w:val="right"/>
            </w:pPr>
            <w:r>
              <w:rPr>
                <w:rStyle w:val="75pt0pt0"/>
              </w:rPr>
              <w:t>9,6</w:t>
            </w:r>
          </w:p>
        </w:tc>
      </w:tr>
      <w:tr w:rsidR="00862FF6">
        <w:tblPrEx>
          <w:tblCellMar>
            <w:top w:w="0" w:type="dxa"/>
            <w:bottom w:w="0" w:type="dxa"/>
          </w:tblCellMar>
        </w:tblPrEx>
        <w:trPr>
          <w:trHeight w:hRule="exact" w:val="254"/>
        </w:trPr>
        <w:tc>
          <w:tcPr>
            <w:tcW w:w="4022"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left="120"/>
              <w:jc w:val="left"/>
            </w:pPr>
            <w:r>
              <w:rPr>
                <w:rStyle w:val="75pt0pt"/>
              </w:rPr>
              <w:t>Україна</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
              </w:rPr>
              <w:t>30,0</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
              </w:rPr>
              <w:t>19,6</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
              </w:rPr>
              <w:t>17,8</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
              </w:rPr>
              <w:t>13,2</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
              </w:rPr>
              <w:t>17,4</w:t>
            </w:r>
          </w:p>
        </w:tc>
        <w:tc>
          <w:tcPr>
            <w:tcW w:w="845" w:type="dxa"/>
            <w:tcBorders>
              <w:top w:val="single" w:sz="4" w:space="0" w:color="auto"/>
              <w:left w:val="single" w:sz="4" w:space="0" w:color="auto"/>
              <w:righ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20"/>
              <w:jc w:val="right"/>
            </w:pPr>
            <w:r>
              <w:rPr>
                <w:rStyle w:val="75pt0pt"/>
              </w:rPr>
              <w:t>33,8</w:t>
            </w:r>
          </w:p>
        </w:tc>
      </w:tr>
      <w:tr w:rsidR="00862FF6">
        <w:tblPrEx>
          <w:tblCellMar>
            <w:top w:w="0" w:type="dxa"/>
            <w:bottom w:w="0" w:type="dxa"/>
          </w:tblCellMar>
        </w:tblPrEx>
        <w:trPr>
          <w:trHeight w:hRule="exact" w:val="259"/>
        </w:trPr>
        <w:tc>
          <w:tcPr>
            <w:tcW w:w="4022"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left="120"/>
              <w:jc w:val="left"/>
            </w:pPr>
            <w:r>
              <w:rPr>
                <w:rStyle w:val="75pt0pt0"/>
              </w:rPr>
              <w:t>Китай</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13,2</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8,6</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7,1</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6,2</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2,4</w:t>
            </w:r>
          </w:p>
        </w:tc>
        <w:tc>
          <w:tcPr>
            <w:tcW w:w="845" w:type="dxa"/>
            <w:tcBorders>
              <w:top w:val="single" w:sz="4" w:space="0" w:color="auto"/>
              <w:left w:val="single" w:sz="4" w:space="0" w:color="auto"/>
              <w:righ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20"/>
              <w:jc w:val="right"/>
            </w:pPr>
            <w:r>
              <w:rPr>
                <w:rStyle w:val="75pt0pt0"/>
              </w:rPr>
              <w:t>1,6</w:t>
            </w:r>
          </w:p>
        </w:tc>
      </w:tr>
      <w:tr w:rsidR="00862FF6">
        <w:tblPrEx>
          <w:tblCellMar>
            <w:top w:w="0" w:type="dxa"/>
            <w:bottom w:w="0" w:type="dxa"/>
          </w:tblCellMar>
        </w:tblPrEx>
        <w:trPr>
          <w:trHeight w:hRule="exact" w:val="605"/>
        </w:trPr>
        <w:tc>
          <w:tcPr>
            <w:tcW w:w="9042" w:type="dxa"/>
            <w:gridSpan w:val="7"/>
            <w:tcBorders>
              <w:top w:val="single" w:sz="4" w:space="0" w:color="auto"/>
              <w:left w:val="single" w:sz="4" w:space="0" w:color="auto"/>
              <w:right w:val="single" w:sz="4" w:space="0" w:color="auto"/>
            </w:tcBorders>
            <w:shd w:val="clear" w:color="auto" w:fill="FFFFFF"/>
            <w:vAlign w:val="center"/>
          </w:tcPr>
          <w:p w:rsidR="00862FF6" w:rsidRDefault="00F40C79">
            <w:pPr>
              <w:pStyle w:val="a7"/>
              <w:framePr w:w="9043" w:h="4541" w:wrap="around" w:vAnchor="page" w:hAnchor="page" w:x="1429" w:y="4899"/>
              <w:shd w:val="clear" w:color="auto" w:fill="auto"/>
              <w:spacing w:before="0" w:line="211" w:lineRule="exact"/>
              <w:jc w:val="center"/>
            </w:pPr>
            <w:r>
              <w:rPr>
                <w:rStyle w:val="75pt0pt"/>
              </w:rPr>
              <w:t xml:space="preserve">Частки покриття </w:t>
            </w:r>
            <w:r>
              <w:rPr>
                <w:rStyle w:val="75pt0pt"/>
              </w:rPr>
              <w:t>страховими резервами недіючих кредитів банківських систем, %</w:t>
            </w:r>
          </w:p>
        </w:tc>
      </w:tr>
      <w:tr w:rsidR="00862FF6">
        <w:tblPrEx>
          <w:tblCellMar>
            <w:top w:w="0" w:type="dxa"/>
            <w:bottom w:w="0" w:type="dxa"/>
          </w:tblCellMar>
        </w:tblPrEx>
        <w:trPr>
          <w:trHeight w:hRule="exact" w:val="226"/>
        </w:trPr>
        <w:tc>
          <w:tcPr>
            <w:tcW w:w="4022"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left="120"/>
              <w:jc w:val="left"/>
            </w:pPr>
            <w:r>
              <w:rPr>
                <w:rStyle w:val="75pt0pt0"/>
              </w:rPr>
              <w:t>Польща</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61,3</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61,6</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57,8</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59,3</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61,3</w:t>
            </w:r>
          </w:p>
        </w:tc>
        <w:tc>
          <w:tcPr>
            <w:tcW w:w="845" w:type="dxa"/>
            <w:tcBorders>
              <w:top w:val="single" w:sz="4" w:space="0" w:color="auto"/>
              <w:left w:val="single" w:sz="4" w:space="0" w:color="auto"/>
              <w:righ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20"/>
              <w:jc w:val="right"/>
            </w:pPr>
            <w:r>
              <w:rPr>
                <w:rStyle w:val="75pt0pt0"/>
              </w:rPr>
              <w:t>50,2</w:t>
            </w:r>
          </w:p>
        </w:tc>
      </w:tr>
      <w:tr w:rsidR="00862FF6">
        <w:tblPrEx>
          <w:tblCellMar>
            <w:top w:w="0" w:type="dxa"/>
            <w:bottom w:w="0" w:type="dxa"/>
          </w:tblCellMar>
        </w:tblPrEx>
        <w:trPr>
          <w:trHeight w:hRule="exact" w:val="226"/>
        </w:trPr>
        <w:tc>
          <w:tcPr>
            <w:tcW w:w="4022"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left="120"/>
              <w:jc w:val="left"/>
            </w:pPr>
            <w:r>
              <w:rPr>
                <w:rStyle w:val="75pt0pt0"/>
              </w:rPr>
              <w:t>Росія</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148,5</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176,9</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170,8</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144,0</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118,4</w:t>
            </w:r>
          </w:p>
        </w:tc>
        <w:tc>
          <w:tcPr>
            <w:tcW w:w="845" w:type="dxa"/>
            <w:tcBorders>
              <w:top w:val="single" w:sz="4" w:space="0" w:color="auto"/>
              <w:left w:val="single" w:sz="4" w:space="0" w:color="auto"/>
              <w:righ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20"/>
              <w:jc w:val="right"/>
            </w:pPr>
            <w:r>
              <w:rPr>
                <w:rStyle w:val="75pt0pt0"/>
              </w:rPr>
              <w:t>94,8</w:t>
            </w:r>
          </w:p>
        </w:tc>
      </w:tr>
      <w:tr w:rsidR="00862FF6">
        <w:tblPrEx>
          <w:tblCellMar>
            <w:top w:w="0" w:type="dxa"/>
            <w:bottom w:w="0" w:type="dxa"/>
          </w:tblCellMar>
        </w:tblPrEx>
        <w:trPr>
          <w:trHeight w:hRule="exact" w:val="230"/>
        </w:trPr>
        <w:tc>
          <w:tcPr>
            <w:tcW w:w="4022"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left="120"/>
              <w:jc w:val="left"/>
            </w:pPr>
            <w:r>
              <w:rPr>
                <w:rStyle w:val="75pt0pt"/>
              </w:rPr>
              <w:t>Україна</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
              </w:rPr>
              <w:t>21,1</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
              </w:rPr>
              <w:t>25,0</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
              </w:rPr>
              <w:t>23,1</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
              </w:rPr>
              <w:t>26,3</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
              </w:rPr>
              <w:t>29,6</w:t>
            </w:r>
          </w:p>
        </w:tc>
        <w:tc>
          <w:tcPr>
            <w:tcW w:w="845" w:type="dxa"/>
            <w:tcBorders>
              <w:top w:val="single" w:sz="4" w:space="0" w:color="auto"/>
              <w:left w:val="single" w:sz="4" w:space="0" w:color="auto"/>
              <w:righ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20"/>
              <w:jc w:val="right"/>
            </w:pPr>
            <w:r>
              <w:rPr>
                <w:rStyle w:val="75pt0pt"/>
              </w:rPr>
              <w:t>32,3</w:t>
            </w:r>
          </w:p>
        </w:tc>
      </w:tr>
      <w:tr w:rsidR="00862FF6">
        <w:tblPrEx>
          <w:tblCellMar>
            <w:top w:w="0" w:type="dxa"/>
            <w:bottom w:w="0" w:type="dxa"/>
          </w:tblCellMar>
        </w:tblPrEx>
        <w:trPr>
          <w:trHeight w:hRule="exact" w:val="226"/>
        </w:trPr>
        <w:tc>
          <w:tcPr>
            <w:tcW w:w="4022"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left="120"/>
              <w:jc w:val="left"/>
            </w:pPr>
            <w:r>
              <w:rPr>
                <w:rStyle w:val="75pt0pt0"/>
              </w:rPr>
              <w:t>Китай</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14,2</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24,8</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34,3</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39,2</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116,4</w:t>
            </w:r>
          </w:p>
        </w:tc>
        <w:tc>
          <w:tcPr>
            <w:tcW w:w="845" w:type="dxa"/>
            <w:tcBorders>
              <w:top w:val="single" w:sz="4" w:space="0" w:color="auto"/>
              <w:left w:val="single" w:sz="4" w:space="0" w:color="auto"/>
              <w:righ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20"/>
              <w:jc w:val="right"/>
            </w:pPr>
            <w:r>
              <w:rPr>
                <w:rStyle w:val="75pt0pt0"/>
              </w:rPr>
              <w:t>155,0</w:t>
            </w:r>
          </w:p>
        </w:tc>
      </w:tr>
      <w:tr w:rsidR="00862FF6">
        <w:tblPrEx>
          <w:tblCellMar>
            <w:top w:w="0" w:type="dxa"/>
            <w:bottom w:w="0" w:type="dxa"/>
          </w:tblCellMar>
        </w:tblPrEx>
        <w:trPr>
          <w:trHeight w:hRule="exact" w:val="413"/>
        </w:trPr>
        <w:tc>
          <w:tcPr>
            <w:tcW w:w="9042" w:type="dxa"/>
            <w:gridSpan w:val="7"/>
            <w:tcBorders>
              <w:top w:val="single" w:sz="4" w:space="0" w:color="auto"/>
              <w:left w:val="single" w:sz="4" w:space="0" w:color="auto"/>
              <w:right w:val="single" w:sz="4" w:space="0" w:color="auto"/>
            </w:tcBorders>
            <w:shd w:val="clear" w:color="auto" w:fill="FFFFFF"/>
            <w:vAlign w:val="center"/>
          </w:tcPr>
          <w:p w:rsidR="00862FF6" w:rsidRDefault="00F40C79">
            <w:pPr>
              <w:pStyle w:val="a7"/>
              <w:framePr w:w="9043" w:h="4541" w:wrap="around" w:vAnchor="page" w:hAnchor="page" w:x="1429" w:y="4899"/>
              <w:shd w:val="clear" w:color="auto" w:fill="auto"/>
              <w:spacing w:before="0" w:line="150" w:lineRule="exact"/>
              <w:jc w:val="center"/>
            </w:pPr>
            <w:r>
              <w:rPr>
                <w:rStyle w:val="75pt0pt"/>
              </w:rPr>
              <w:t xml:space="preserve">Рентабельність активів банківських </w:t>
            </w:r>
            <w:r>
              <w:rPr>
                <w:rStyle w:val="75pt0pt"/>
              </w:rPr>
              <w:t>систем, %</w:t>
            </w:r>
          </w:p>
        </w:tc>
      </w:tr>
      <w:tr w:rsidR="00862FF6">
        <w:tblPrEx>
          <w:tblCellMar>
            <w:top w:w="0" w:type="dxa"/>
            <w:bottom w:w="0" w:type="dxa"/>
          </w:tblCellMar>
        </w:tblPrEx>
        <w:trPr>
          <w:trHeight w:hRule="exact" w:val="226"/>
        </w:trPr>
        <w:tc>
          <w:tcPr>
            <w:tcW w:w="4022"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left="120"/>
              <w:jc w:val="left"/>
            </w:pPr>
            <w:r>
              <w:rPr>
                <w:rStyle w:val="75pt0pt0"/>
              </w:rPr>
              <w:t>Польща</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1,4</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1,6</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1,7</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1,7</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1,6</w:t>
            </w:r>
          </w:p>
        </w:tc>
        <w:tc>
          <w:tcPr>
            <w:tcW w:w="845" w:type="dxa"/>
            <w:tcBorders>
              <w:top w:val="single" w:sz="4" w:space="0" w:color="auto"/>
              <w:left w:val="single" w:sz="4" w:space="0" w:color="auto"/>
              <w:righ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20"/>
              <w:jc w:val="right"/>
            </w:pPr>
            <w:r>
              <w:rPr>
                <w:rStyle w:val="75pt0pt0"/>
              </w:rPr>
              <w:t>1,2</w:t>
            </w:r>
          </w:p>
        </w:tc>
      </w:tr>
      <w:tr w:rsidR="00862FF6">
        <w:tblPrEx>
          <w:tblCellMar>
            <w:top w:w="0" w:type="dxa"/>
            <w:bottom w:w="0" w:type="dxa"/>
          </w:tblCellMar>
        </w:tblPrEx>
        <w:trPr>
          <w:trHeight w:hRule="exact" w:val="226"/>
        </w:trPr>
        <w:tc>
          <w:tcPr>
            <w:tcW w:w="4022"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left="120"/>
              <w:jc w:val="left"/>
            </w:pPr>
            <w:r>
              <w:rPr>
                <w:rStyle w:val="75pt0pt0"/>
              </w:rPr>
              <w:t>Росія</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2,9</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3,2</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3,3</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3,0</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1,8</w:t>
            </w:r>
          </w:p>
        </w:tc>
        <w:tc>
          <w:tcPr>
            <w:tcW w:w="845" w:type="dxa"/>
            <w:tcBorders>
              <w:top w:val="single" w:sz="4" w:space="0" w:color="auto"/>
              <w:left w:val="single" w:sz="4" w:space="0" w:color="auto"/>
              <w:righ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20"/>
              <w:jc w:val="right"/>
            </w:pPr>
            <w:r>
              <w:rPr>
                <w:rStyle w:val="75pt0pt0"/>
              </w:rPr>
              <w:t>0,7</w:t>
            </w:r>
          </w:p>
        </w:tc>
      </w:tr>
      <w:tr w:rsidR="00862FF6">
        <w:tblPrEx>
          <w:tblCellMar>
            <w:top w:w="0" w:type="dxa"/>
            <w:bottom w:w="0" w:type="dxa"/>
          </w:tblCellMar>
        </w:tblPrEx>
        <w:trPr>
          <w:trHeight w:hRule="exact" w:val="230"/>
        </w:trPr>
        <w:tc>
          <w:tcPr>
            <w:tcW w:w="4022"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left="120"/>
              <w:jc w:val="left"/>
            </w:pPr>
            <w:r>
              <w:rPr>
                <w:rStyle w:val="75pt0pt"/>
              </w:rPr>
              <w:t>Україна</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
              </w:rPr>
              <w:t>1,1</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
              </w:rPr>
              <w:t>1,3</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
              </w:rPr>
              <w:t>1,6</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
              </w:rPr>
              <w:t>1,5</w:t>
            </w:r>
          </w:p>
        </w:tc>
        <w:tc>
          <w:tcPr>
            <w:tcW w:w="835" w:type="dxa"/>
            <w:tcBorders>
              <w:top w:val="single" w:sz="4" w:space="0" w:color="auto"/>
              <w:lef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
              </w:rPr>
              <w:t>1,0</w:t>
            </w:r>
          </w:p>
        </w:tc>
        <w:tc>
          <w:tcPr>
            <w:tcW w:w="845" w:type="dxa"/>
            <w:tcBorders>
              <w:top w:val="single" w:sz="4" w:space="0" w:color="auto"/>
              <w:left w:val="single" w:sz="4" w:space="0" w:color="auto"/>
              <w:righ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20"/>
              <w:jc w:val="right"/>
            </w:pPr>
            <w:r>
              <w:rPr>
                <w:rStyle w:val="75pt0pt"/>
              </w:rPr>
              <w:t>-4,4</w:t>
            </w:r>
          </w:p>
        </w:tc>
      </w:tr>
      <w:tr w:rsidR="00862FF6">
        <w:tblPrEx>
          <w:tblCellMar>
            <w:top w:w="0" w:type="dxa"/>
            <w:bottom w:w="0" w:type="dxa"/>
          </w:tblCellMar>
        </w:tblPrEx>
        <w:trPr>
          <w:trHeight w:hRule="exact" w:val="235"/>
        </w:trPr>
        <w:tc>
          <w:tcPr>
            <w:tcW w:w="4022" w:type="dxa"/>
            <w:tcBorders>
              <w:top w:val="single" w:sz="4" w:space="0" w:color="auto"/>
              <w:left w:val="single" w:sz="4" w:space="0" w:color="auto"/>
              <w:bottom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left="120"/>
              <w:jc w:val="left"/>
            </w:pPr>
            <w:r>
              <w:rPr>
                <w:rStyle w:val="75pt0pt0"/>
              </w:rPr>
              <w:t>Китай</w:t>
            </w:r>
          </w:p>
        </w:tc>
        <w:tc>
          <w:tcPr>
            <w:tcW w:w="835" w:type="dxa"/>
            <w:tcBorders>
              <w:top w:val="single" w:sz="4" w:space="0" w:color="auto"/>
              <w:left w:val="single" w:sz="4" w:space="0" w:color="auto"/>
              <w:bottom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0,5</w:t>
            </w:r>
          </w:p>
        </w:tc>
        <w:tc>
          <w:tcPr>
            <w:tcW w:w="835" w:type="dxa"/>
            <w:tcBorders>
              <w:top w:val="single" w:sz="4" w:space="0" w:color="auto"/>
              <w:left w:val="single" w:sz="4" w:space="0" w:color="auto"/>
              <w:bottom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0,6</w:t>
            </w:r>
          </w:p>
        </w:tc>
        <w:tc>
          <w:tcPr>
            <w:tcW w:w="835" w:type="dxa"/>
            <w:tcBorders>
              <w:top w:val="single" w:sz="4" w:space="0" w:color="auto"/>
              <w:left w:val="single" w:sz="4" w:space="0" w:color="auto"/>
              <w:bottom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0,9</w:t>
            </w:r>
          </w:p>
        </w:tc>
        <w:tc>
          <w:tcPr>
            <w:tcW w:w="835" w:type="dxa"/>
            <w:tcBorders>
              <w:top w:val="single" w:sz="4" w:space="0" w:color="auto"/>
              <w:left w:val="single" w:sz="4" w:space="0" w:color="auto"/>
              <w:bottom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0,9</w:t>
            </w:r>
          </w:p>
        </w:tc>
        <w:tc>
          <w:tcPr>
            <w:tcW w:w="835" w:type="dxa"/>
            <w:tcBorders>
              <w:top w:val="single" w:sz="4" w:space="0" w:color="auto"/>
              <w:left w:val="single" w:sz="4" w:space="0" w:color="auto"/>
              <w:bottom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00"/>
              <w:jc w:val="right"/>
            </w:pPr>
            <w:r>
              <w:rPr>
                <w:rStyle w:val="75pt0pt0"/>
              </w:rPr>
              <w:t>1,0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bottom"/>
          </w:tcPr>
          <w:p w:rsidR="00862FF6" w:rsidRDefault="00F40C79">
            <w:pPr>
              <w:pStyle w:val="a7"/>
              <w:framePr w:w="9043" w:h="4541" w:wrap="around" w:vAnchor="page" w:hAnchor="page" w:x="1429" w:y="4899"/>
              <w:shd w:val="clear" w:color="auto" w:fill="auto"/>
              <w:spacing w:before="0" w:line="150" w:lineRule="exact"/>
              <w:ind w:right="120"/>
              <w:jc w:val="right"/>
            </w:pPr>
            <w:r>
              <w:rPr>
                <w:rStyle w:val="75pt0pt0"/>
              </w:rPr>
              <w:t>1,1</w:t>
            </w:r>
          </w:p>
        </w:tc>
      </w:tr>
    </w:tbl>
    <w:p w:rsidR="00862FF6" w:rsidRDefault="00F40C79">
      <w:pPr>
        <w:pStyle w:val="a7"/>
        <w:framePr w:w="9086" w:h="5309" w:hRule="exact" w:wrap="around" w:vAnchor="page" w:hAnchor="page" w:x="1424" w:y="9696"/>
        <w:shd w:val="clear" w:color="auto" w:fill="auto"/>
        <w:spacing w:before="0"/>
        <w:ind w:left="20" w:right="20" w:firstLine="280"/>
      </w:pPr>
      <w:r>
        <w:t xml:space="preserve">Усупереч банківській практиці більшості зарубіжних країн, для яких послідовно впродовж2004- 2008 </w:t>
      </w:r>
      <w:r>
        <w:rPr>
          <w:lang w:val="en-US" w:eastAsia="en-US" w:bidi="en-US"/>
        </w:rPr>
        <w:t xml:space="preserve">pp. </w:t>
      </w:r>
      <w:r>
        <w:t xml:space="preserve">фінансові показники ефективності державного регулювання мали тенденцію до погіршення, Китай навпаки показав позитивну тенденцію. Так, частка проблемної заборгованості за кредитними операціями знизилася за 2004-2008 </w:t>
      </w:r>
      <w:r>
        <w:rPr>
          <w:lang w:val="en-US" w:eastAsia="en-US" w:bidi="en-US"/>
        </w:rPr>
        <w:t xml:space="preserve">pp. </w:t>
      </w:r>
      <w:r>
        <w:t>з 13,2% до 2,4%; частка покриття стра</w:t>
      </w:r>
      <w:r>
        <w:t>ховими резервами проблемної заборгованості за кредитними операціями зросла з 14,2% до 116,4%; рентабельність власного капіталу збільшилася з 13,7% до 17,1%, рентабельність активів зросла з 0,5% до 1,0%, достатність регулятивного капіталу збільшилася з (-4,</w:t>
      </w:r>
      <w:r>
        <w:t>7%) до 12,0% [1]. У 2009 р. частка недіючих кредитів у кредитному портфелі банків Китаю опустилася до найнижчого рівня і становила 1,6%, (за допустимого рівня до 3,5%), а частка покриття страховими резервами недіючих кредитів сягнула рекордної величини і с</w:t>
      </w:r>
      <w:r>
        <w:t>тановила 155%. Отже, банківська система Китаю виявилася стійкою до негативного впливу несприятливої економічної кон’юнктури.</w:t>
      </w:r>
    </w:p>
    <w:p w:rsidR="00862FF6" w:rsidRDefault="00F40C79">
      <w:pPr>
        <w:pStyle w:val="a7"/>
        <w:framePr w:w="9086" w:h="5309" w:hRule="exact" w:wrap="around" w:vAnchor="page" w:hAnchor="page" w:x="1424" w:y="9696"/>
        <w:shd w:val="clear" w:color="auto" w:fill="auto"/>
        <w:spacing w:before="0"/>
        <w:ind w:left="20" w:right="20" w:firstLine="280"/>
      </w:pPr>
      <w:r>
        <w:t>До розгортання фінансової кризи Китай зумів створити належну систему стійкості банківського сектору, яка дала змогу йому не лише ви</w:t>
      </w:r>
      <w:r>
        <w:t>стояти під час кризи, а й значно поліпшити показники фінансових індикаторів. Вирішальну роль у розвитку банківської системи Китаю відіграла Комісія з регулювання банківської системи Китаю. Після її створення у 2003 р. реформа банківської системи Китаю набу</w:t>
      </w:r>
      <w:r>
        <w:t>ла більш динамічного розвитку. Під час реформування Комісія зосередила увагу на таких аспектах: посилення ефективності банківського нагляду, створення умов для збалансованого та стабільного розвитку банківської системи країни, сприяння впровадженню фінансо</w:t>
      </w:r>
      <w:r>
        <w:t>вих інновацій, забезпечення якісних послуг та підвищення соціальної відповідальності. Комісія встановила жорстокий контроль за банками щодо дотримання ними базових коефіцієнтів фінансової стабільності, практики корпоративного управління та управління ризик</w:t>
      </w:r>
      <w:r>
        <w:t>ами.</w:t>
      </w:r>
    </w:p>
    <w:p w:rsidR="00862FF6" w:rsidRDefault="00F40C79">
      <w:pPr>
        <w:pStyle w:val="32"/>
        <w:framePr w:wrap="around" w:vAnchor="page" w:hAnchor="page" w:x="1419" w:y="15564"/>
        <w:shd w:val="clear" w:color="auto" w:fill="auto"/>
        <w:spacing w:line="130" w:lineRule="exact"/>
        <w:ind w:left="20"/>
      </w:pPr>
      <w:r>
        <w:t>Наука молода № 19, 2013 р.</w:t>
      </w:r>
    </w:p>
    <w:p w:rsidR="00862FF6" w:rsidRDefault="00F40C79">
      <w:pPr>
        <w:pStyle w:val="a5"/>
        <w:framePr w:wrap="around" w:vAnchor="page" w:hAnchor="page" w:x="10203" w:y="15593"/>
        <w:shd w:val="clear" w:color="auto" w:fill="auto"/>
        <w:spacing w:before="0" w:line="160" w:lineRule="exact"/>
        <w:ind w:left="20"/>
      </w:pPr>
      <w:r>
        <w:t>107</w:t>
      </w:r>
    </w:p>
    <w:p w:rsidR="00862FF6" w:rsidRDefault="00862FF6">
      <w:pPr>
        <w:rPr>
          <w:sz w:val="2"/>
          <w:szCs w:val="2"/>
        </w:rPr>
        <w:sectPr w:rsidR="00862FF6">
          <w:pgSz w:w="11909" w:h="16838"/>
          <w:pgMar w:top="0" w:right="0" w:bottom="0" w:left="0" w:header="0" w:footer="3" w:gutter="0"/>
          <w:cols w:space="720"/>
          <w:noEndnote/>
          <w:docGrid w:linePitch="360"/>
        </w:sectPr>
      </w:pPr>
    </w:p>
    <w:p w:rsidR="00862FF6" w:rsidRDefault="00F40C79">
      <w:pPr>
        <w:pStyle w:val="20"/>
        <w:framePr w:w="9130" w:h="432" w:hRule="exact" w:wrap="around" w:vAnchor="page" w:hAnchor="page" w:x="1410" w:y="1073"/>
        <w:shd w:val="clear" w:color="auto" w:fill="auto"/>
        <w:spacing w:after="51" w:line="150" w:lineRule="exact"/>
        <w:ind w:left="40"/>
      </w:pPr>
      <w:r>
        <w:lastRenderedPageBreak/>
        <w:t>С. Лобовинська</w:t>
      </w:r>
    </w:p>
    <w:p w:rsidR="00862FF6" w:rsidRDefault="00F40C79">
      <w:pPr>
        <w:pStyle w:val="a5"/>
        <w:framePr w:w="9130" w:h="432" w:hRule="exact" w:wrap="around" w:vAnchor="page" w:hAnchor="page" w:x="1410" w:y="1073"/>
        <w:shd w:val="clear" w:color="auto" w:fill="auto"/>
        <w:spacing w:before="0" w:line="160" w:lineRule="exact"/>
        <w:ind w:left="40"/>
      </w:pPr>
      <w:r>
        <w:t>Аналітика проблемної заборгованості ...</w:t>
      </w:r>
    </w:p>
    <w:p w:rsidR="00862FF6" w:rsidRDefault="00F40C79">
      <w:pPr>
        <w:pStyle w:val="a7"/>
        <w:framePr w:w="9082" w:h="13532" w:hRule="exact" w:wrap="around" w:vAnchor="page" w:hAnchor="page" w:x="1434" w:y="1733"/>
        <w:shd w:val="clear" w:color="auto" w:fill="auto"/>
        <w:spacing w:before="0"/>
        <w:ind w:left="20" w:right="20" w:firstLine="280"/>
      </w:pPr>
      <w:r>
        <w:t>Особливістю реформування банківської системи Китаю є такожте, що вона є частиною загально</w:t>
      </w:r>
      <w:r>
        <w:softHyphen/>
        <w:t xml:space="preserve">державних реформ і її впровадження здійснюється </w:t>
      </w:r>
      <w:r>
        <w:t>поступово. Планомірне проведення реформування банківської системи Китаю підготувало місцеві банки до конкуренції з іноземними банками, тому фінансову кризу банки Китаю зустріли як потужні фінансові установи з достатнім капіталом, ефективним корпоративним у</w:t>
      </w:r>
      <w:r>
        <w:t>правлінням та налагодженим механізмом управління ризиками.</w:t>
      </w:r>
    </w:p>
    <w:p w:rsidR="00862FF6" w:rsidRDefault="00F40C79">
      <w:pPr>
        <w:pStyle w:val="a7"/>
        <w:framePr w:w="9082" w:h="13532" w:hRule="exact" w:wrap="around" w:vAnchor="page" w:hAnchor="page" w:x="1434" w:y="1733"/>
        <w:shd w:val="clear" w:color="auto" w:fill="auto"/>
        <w:spacing w:before="0"/>
        <w:ind w:left="20" w:right="20" w:firstLine="280"/>
      </w:pPr>
      <w:r>
        <w:t>Завдяки запровадженню жорсткого консервативного регулювання банківського бізнесу, реалізації раціональної політики, реформування банківської системи країни Китай досягнув найвищого рівня ефек</w:t>
      </w:r>
      <w:r>
        <w:softHyphen/>
        <w:t>тивно</w:t>
      </w:r>
      <w:r>
        <w:t>сті державного регулювання банківської системи з тенденцією до подальшого його збереження.</w:t>
      </w:r>
    </w:p>
    <w:p w:rsidR="00862FF6" w:rsidRDefault="00F40C79">
      <w:pPr>
        <w:pStyle w:val="a7"/>
        <w:framePr w:w="9082" w:h="13532" w:hRule="exact" w:wrap="around" w:vAnchor="page" w:hAnchor="page" w:x="1434" w:y="1733"/>
        <w:shd w:val="clear" w:color="auto" w:fill="auto"/>
        <w:spacing w:before="0"/>
        <w:ind w:left="20" w:right="20" w:firstLine="280"/>
      </w:pPr>
      <w:r>
        <w:t>Добрі успіхи у регулюванні банківництва продемонструвала також польська влада. Завдяки належному державному нагляду, польські банкіри значно менше, ніж їхні колеги в</w:t>
      </w:r>
      <w:r>
        <w:t xml:space="preserve"> інших державах, застосовували ризиковані методи фінансування та ведення банківської діяльності, спираючись здебільшого на депозитну базу. Польські банки набагато обережніше підходили до кредитування, особливо іпотечного, завдяки чому їх не спіткали пробле</w:t>
      </w:r>
      <w:r>
        <w:t>ми, характерні для багатьох іноземних банків. Так, у період з 2004 р. до 2008 р. частка недіючих кредитів у кредитному портфелі польских банків зменшилася із 14,9% до 4,4%, а рентабельність активів упродовж цих років перевищувала граничний рівень рентабель</w:t>
      </w:r>
      <w:r>
        <w:t xml:space="preserve">ності, який встановлений на рівні 1% (у 2004 р. вона становила 1,4%, у 2005 р. - 1,6%, у 2006 </w:t>
      </w:r>
      <w:r>
        <w:rPr>
          <w:lang w:val="en-US" w:eastAsia="en-US" w:bidi="en-US"/>
        </w:rPr>
        <w:t xml:space="preserve">p.- </w:t>
      </w:r>
      <w:r>
        <w:t xml:space="preserve">1,7%, у 2007 р. - 1,7%, у 2008 </w:t>
      </w:r>
      <w:r>
        <w:rPr>
          <w:lang w:val="en-US" w:eastAsia="en-US" w:bidi="en-US"/>
        </w:rPr>
        <w:t xml:space="preserve">p.- </w:t>
      </w:r>
      <w:r>
        <w:t xml:space="preserve">1,6%, у 2009 </w:t>
      </w:r>
      <w:r>
        <w:rPr>
          <w:lang w:val="en-US" w:eastAsia="en-US" w:bidi="en-US"/>
        </w:rPr>
        <w:t xml:space="preserve">p.- </w:t>
      </w:r>
      <w:r>
        <w:t xml:space="preserve">1,2% [1]. Такий стан справ став можливим завдяки зусиллям органів виконавчої влади, які підготували і </w:t>
      </w:r>
      <w:r>
        <w:t>втілили у життя низку юридичних документів (серед іншого - так званий регулятивний пакет), які додатково підтримали й посилили фінансову систему держави. Відповідних заходів із забезпечення стабільності фінансового сектору вжив також Національний банк Поль</w:t>
      </w:r>
      <w:r>
        <w:t>щі [2].</w:t>
      </w:r>
    </w:p>
    <w:p w:rsidR="00862FF6" w:rsidRDefault="00F40C79">
      <w:pPr>
        <w:pStyle w:val="a7"/>
        <w:framePr w:w="9082" w:h="13532" w:hRule="exact" w:wrap="around" w:vAnchor="page" w:hAnchor="page" w:x="1434" w:y="1733"/>
        <w:shd w:val="clear" w:color="auto" w:fill="auto"/>
        <w:spacing w:before="0"/>
        <w:ind w:left="20" w:right="20" w:firstLine="280"/>
      </w:pPr>
      <w:r>
        <w:t>Безумовно, на розвитокта стабільність банківської системи тісно впливає ступінь розвитку еконо</w:t>
      </w:r>
      <w:r>
        <w:softHyphen/>
        <w:t>міки країни. Стійке економічне зростання Польщі стало результатом формування міцного фундаменту економіки, який був створений завдяки проведенню у цій кр</w:t>
      </w:r>
      <w:r>
        <w:t>аїні упродовжостанніх двадцяти років значнихдержавних перетворень. Послідовне реформування, великою мірою пов’язане з підготовкою країни до членства в Європейському Союзі, принесло державі збалансовану структуру економіки. Зокрема, відносно незначна залежн</w:t>
      </w:r>
      <w:r>
        <w:t>ість Польщі від іноземних ринків (експорт становить менш як 40% польського ВВП) за одночасно доволі великого споживання на внутрішньому ринку зробили економіку країни стійкою до змін кон’юнктури зовнішніх ринків. Значний внутрішній попит, особливо індивіду</w:t>
      </w:r>
      <w:r>
        <w:t>альне споживання, посилене скороченням податків та індексацією пенсій і соціальних виплат, змогли достатньо компенсувати падіння зовнішнього попиту. Хоча у 2009 р. ефективність банківського сектору дещо знизилася, міжнародні рейтингові агентства дають пози</w:t>
      </w:r>
      <w:r>
        <w:t>тивний прогноз щодо подальшого розвитку польської економіки.</w:t>
      </w:r>
    </w:p>
    <w:p w:rsidR="00862FF6" w:rsidRDefault="00F40C79">
      <w:pPr>
        <w:pStyle w:val="a7"/>
        <w:framePr w:w="9082" w:h="13532" w:hRule="exact" w:wrap="around" w:vAnchor="page" w:hAnchor="page" w:x="1434" w:y="1733"/>
        <w:shd w:val="clear" w:color="auto" w:fill="auto"/>
        <w:spacing w:before="0"/>
        <w:ind w:left="20" w:right="20" w:firstLine="280"/>
      </w:pPr>
      <w:r>
        <w:t xml:space="preserve">Регулювання банківської системи Росії впродовж 2004-2009 </w:t>
      </w:r>
      <w:r>
        <w:rPr>
          <w:lang w:val="en-US" w:eastAsia="en-US" w:bidi="en-US"/>
        </w:rPr>
        <w:t xml:space="preserve">pp. </w:t>
      </w:r>
      <w:r>
        <w:t xml:space="preserve">мала стабільно середній рівень ефективності за винятком 2005 </w:t>
      </w:r>
      <w:r>
        <w:rPr>
          <w:lang w:val="en-US" w:eastAsia="en-US" w:bidi="en-US"/>
        </w:rPr>
        <w:t xml:space="preserve">p., </w:t>
      </w:r>
      <w:r>
        <w:t>коли цей показник досягнув найвищого значення. У 2005 р. російська ек</w:t>
      </w:r>
      <w:r>
        <w:t>ономіка завдяки експорту сприяла значному збільшенню дохідної частини бюджету, що вплинуло на збільшення соціальних виплат та розвитку платоспроможного попиту. Ресурсна база російських банків здебільшого була сформована за рахунок виторгу експортерів. Так,</w:t>
      </w:r>
      <w:r>
        <w:t xml:space="preserve"> пасивні ресурси банківського сектору впродовж 2004-2007 </w:t>
      </w:r>
      <w:r>
        <w:rPr>
          <w:lang w:val="en-US" w:eastAsia="en-US" w:bidi="en-US"/>
        </w:rPr>
        <w:t xml:space="preserve">pp. </w:t>
      </w:r>
      <w:r>
        <w:t>зростали близько на 40% щорічно [3, с. 29]. Однак напрями вкладення грошових коштів були обмеженими, оскільки російські експортери надавали перевагу залученню ресурсів у західних банків та розміщ</w:t>
      </w:r>
      <w:r>
        <w:t>енню єврооблігацій на міжнародному ринку. Натомість російські банки змушені були спрямовувати свої кошти на придбання акцій великих експортерів та розміщення облігацій клієнтів. Кредитування здійснювалося в незначних обсягах для фінансування обігових кошті</w:t>
      </w:r>
      <w:r>
        <w:t>в підприємств. Цим пояснюється і незначна частка недіючих кредитів у портфелі кредитування росій</w:t>
      </w:r>
      <w:r>
        <w:softHyphen/>
        <w:t xml:space="preserve">ських банків. Зокрема у період з 2004 р. до 2009 р. вона перебувала в межах допустимого рівня (у 2004 р. - 3,3%, у 2005 р. - 2,6%, у 2006 </w:t>
      </w:r>
      <w:r>
        <w:rPr>
          <w:lang w:val="en-US" w:eastAsia="en-US" w:bidi="en-US"/>
        </w:rPr>
        <w:t xml:space="preserve">p.- </w:t>
      </w:r>
      <w:r>
        <w:t>2,4%, у 2007 р. -</w:t>
      </w:r>
      <w:r>
        <w:t xml:space="preserve"> 2,5%, у 2008 </w:t>
      </w:r>
      <w:r>
        <w:rPr>
          <w:lang w:val="en-US" w:eastAsia="en-US" w:bidi="en-US"/>
        </w:rPr>
        <w:t xml:space="preserve">p.- </w:t>
      </w:r>
      <w:r>
        <w:t>3,8%). Для мінімізації кредитних ризиків російські банки у повному обсязі формували страхові резерви для покриття втрат за недіючими кредитами: частка покриття страховими резервами недіючих кредитів у 2004 р. стано</w:t>
      </w:r>
      <w:r>
        <w:softHyphen/>
        <w:t xml:space="preserve">вила 148,5%, у 2005 р. </w:t>
      </w:r>
      <w:r>
        <w:t xml:space="preserve">- 176,9%, у 2006 </w:t>
      </w:r>
      <w:r>
        <w:rPr>
          <w:lang w:val="en-US" w:eastAsia="en-US" w:bidi="en-US"/>
        </w:rPr>
        <w:t xml:space="preserve">p.- </w:t>
      </w:r>
      <w:r>
        <w:t xml:space="preserve">170,8%, у 2007 р. - 144,0%, у 2008 </w:t>
      </w:r>
      <w:r>
        <w:rPr>
          <w:lang w:val="en-US" w:eastAsia="en-US" w:bidi="en-US"/>
        </w:rPr>
        <w:t xml:space="preserve">p.- </w:t>
      </w:r>
      <w:r>
        <w:t xml:space="preserve">118,4% [1]. У зазначений період рентабельність активів знаходилася також на високому рівні (у 2004 р. - 2,9 %, у 2005 р. - 3,2%, у 2006 </w:t>
      </w:r>
      <w:r>
        <w:rPr>
          <w:lang w:val="en-US" w:eastAsia="en-US" w:bidi="en-US"/>
        </w:rPr>
        <w:t xml:space="preserve">p.- </w:t>
      </w:r>
      <w:r>
        <w:t xml:space="preserve">3,3%, у 2007 р. - 3,0%, у 2008 </w:t>
      </w:r>
      <w:r>
        <w:rPr>
          <w:lang w:val="en-US" w:eastAsia="en-US" w:bidi="en-US"/>
        </w:rPr>
        <w:t xml:space="preserve">p.- </w:t>
      </w:r>
      <w:r>
        <w:t>1,8%) [1].</w:t>
      </w:r>
    </w:p>
    <w:p w:rsidR="00862FF6" w:rsidRDefault="00F40C79">
      <w:pPr>
        <w:pStyle w:val="a7"/>
        <w:framePr w:w="9082" w:h="13532" w:hRule="exact" w:wrap="around" w:vAnchor="page" w:hAnchor="page" w:x="1434" w:y="1733"/>
        <w:shd w:val="clear" w:color="auto" w:fill="auto"/>
        <w:spacing w:before="0"/>
        <w:ind w:left="20" w:right="20" w:firstLine="280"/>
      </w:pPr>
      <w:r>
        <w:t xml:space="preserve">З 2006 р. </w:t>
      </w:r>
      <w:r>
        <w:t>російські банки розпочали активне кредитування фізичних осіб. Швидке нарощування портфеля споживчого кредитування без належної оцінки позичальників підвищувало кредитні ризики банківської системи. Прогалини у регулюванні ризиків споживчого кредитування спр</w:t>
      </w:r>
      <w:r>
        <w:t>ичинили зниження</w:t>
      </w:r>
    </w:p>
    <w:p w:rsidR="00862FF6" w:rsidRDefault="00F40C79">
      <w:pPr>
        <w:pStyle w:val="a5"/>
        <w:framePr w:wrap="around" w:vAnchor="page" w:hAnchor="page" w:x="1405" w:y="15555"/>
        <w:shd w:val="clear" w:color="auto" w:fill="auto"/>
        <w:spacing w:before="0" w:line="160" w:lineRule="exact"/>
        <w:ind w:left="20"/>
      </w:pPr>
      <w:r>
        <w:t>108</w:t>
      </w:r>
    </w:p>
    <w:p w:rsidR="00862FF6" w:rsidRDefault="00F40C79">
      <w:pPr>
        <w:pStyle w:val="32"/>
        <w:framePr w:wrap="around" w:vAnchor="page" w:hAnchor="page" w:x="8327" w:y="15555"/>
        <w:shd w:val="clear" w:color="auto" w:fill="auto"/>
        <w:spacing w:line="130" w:lineRule="exact"/>
        <w:ind w:left="20"/>
      </w:pPr>
      <w:r>
        <w:t>Наука молода № 19, 2013 р.</w:t>
      </w:r>
    </w:p>
    <w:p w:rsidR="00862FF6" w:rsidRDefault="00862FF6">
      <w:pPr>
        <w:rPr>
          <w:sz w:val="2"/>
          <w:szCs w:val="2"/>
        </w:rPr>
        <w:sectPr w:rsidR="00862FF6">
          <w:pgSz w:w="11909" w:h="16838"/>
          <w:pgMar w:top="0" w:right="0" w:bottom="0" w:left="0" w:header="0" w:footer="3" w:gutter="0"/>
          <w:cols w:space="720"/>
          <w:noEndnote/>
          <w:docGrid w:linePitch="360"/>
        </w:sectPr>
      </w:pPr>
    </w:p>
    <w:p w:rsidR="00862FF6" w:rsidRDefault="00F40C79">
      <w:pPr>
        <w:pStyle w:val="a5"/>
        <w:framePr w:wrap="around" w:vAnchor="page" w:hAnchor="page" w:x="5295" w:y="1284"/>
        <w:shd w:val="clear" w:color="auto" w:fill="auto"/>
        <w:spacing w:before="0" w:line="160" w:lineRule="exact"/>
        <w:ind w:left="20"/>
      </w:pPr>
      <w:r>
        <w:lastRenderedPageBreak/>
        <w:t>Перспективи розвитку фінансово-кредитної системи</w:t>
      </w:r>
    </w:p>
    <w:p w:rsidR="00862FF6" w:rsidRDefault="00F40C79">
      <w:pPr>
        <w:pStyle w:val="a7"/>
        <w:framePr w:w="9082" w:h="13561" w:hRule="exact" w:wrap="around" w:vAnchor="page" w:hAnchor="page" w:x="1427" w:y="1704"/>
        <w:shd w:val="clear" w:color="auto" w:fill="auto"/>
        <w:spacing w:before="0"/>
        <w:ind w:left="20" w:right="20"/>
      </w:pPr>
      <w:r>
        <w:t xml:space="preserve">рівня ефективності банківської системи. У 2009 р. частка недіючих кредитів у кредитному портфелі банків зросла до 9,4%, рівень покриття </w:t>
      </w:r>
      <w:r>
        <w:t>страховими резервами проблемної заборгованості опустився до 94,8%, а рентабельність активів знизилася до 0,7% [1].</w:t>
      </w:r>
    </w:p>
    <w:p w:rsidR="00862FF6" w:rsidRDefault="00F40C79">
      <w:pPr>
        <w:pStyle w:val="a7"/>
        <w:framePr w:w="9082" w:h="13561" w:hRule="exact" w:wrap="around" w:vAnchor="page" w:hAnchor="page" w:x="1427" w:y="1704"/>
        <w:shd w:val="clear" w:color="auto" w:fill="auto"/>
        <w:spacing w:before="0"/>
        <w:ind w:left="20" w:right="20" w:firstLine="280"/>
      </w:pPr>
      <w:r>
        <w:t>Отже, російська банківська система підійшла до 2009 р. з глибокими структурними диспропорціями, які були спричинені зростанням низькоякісного</w:t>
      </w:r>
      <w:r>
        <w:t xml:space="preserve"> портфеля споживчого кредитування та нестабільністю пасивної бази, залежної від експортних надходжень, збереженням сегментації та низької ліквідності ринку міжбанківських кредитів. І лише швидка реакція державної влади в особі центрального банку Російської</w:t>
      </w:r>
      <w:r>
        <w:t xml:space="preserve"> Федерації та уряду Росії дали змогу стабілізувати банківський ринок під час світових фінансових збурень у 2008-2009 </w:t>
      </w:r>
      <w:r>
        <w:rPr>
          <w:lang w:val="en-US" w:eastAsia="en-US" w:bidi="en-US"/>
        </w:rPr>
        <w:t>pp.</w:t>
      </w:r>
    </w:p>
    <w:p w:rsidR="00862FF6" w:rsidRDefault="00F40C79">
      <w:pPr>
        <w:pStyle w:val="a7"/>
        <w:framePr w:w="9082" w:h="13561" w:hRule="exact" w:wrap="around" w:vAnchor="page" w:hAnchor="page" w:x="1427" w:y="1704"/>
        <w:shd w:val="clear" w:color="auto" w:fill="auto"/>
        <w:spacing w:before="0"/>
        <w:ind w:left="20" w:right="20" w:firstLine="280"/>
      </w:pPr>
      <w:r>
        <w:t xml:space="preserve">Для нівелювання негативних тенденцій у банківництві державною владою Росії було надано значні обсяги фінансової підтримки банківському </w:t>
      </w:r>
      <w:r>
        <w:t>та реальному секторам економіки, оптимізовано грошово- кредитний механізм. Зокрема, центральний банк застосовував для регулювання рівня ліквідності такі заходи, як: зниження облікової ставки та норм обов’язкового резервування, розширення ломбардного списку</w:t>
      </w:r>
      <w:r>
        <w:t xml:space="preserve"> цінних паперів за угодами РЕПО; збільшення строків ломбардного кредитування до 30 днів та трьох місяців; збільшення розміру коригувальних коефіцієнтів при розрахунку вартості забезпечення; зниження вимог щодо рейтингу підприємств, активи яких зараховуютьс</w:t>
      </w:r>
      <w:r>
        <w:t>я як забезпечення; послаб</w:t>
      </w:r>
      <w:r>
        <w:softHyphen/>
        <w:t>лення правил нарахування резервів на покриття можливих втрат за кредитними операціями, надання бланкових кредитів банкам строком до 6 місяців; кредитування банків під забезпечення кредитних портфелів та векселів; компенсація збитк</w:t>
      </w:r>
      <w:r>
        <w:t>ів на міжбанківському ринку при відкликанні ліцензій у банків, надання субординованого кредиту Сбербанку Росії у розмірі 500 млрд. руб., виділення 50 млрд. дол. США на фінансову підтримку банків [4, с. 41].</w:t>
      </w:r>
    </w:p>
    <w:p w:rsidR="00862FF6" w:rsidRDefault="00F40C79">
      <w:pPr>
        <w:pStyle w:val="a7"/>
        <w:framePr w:w="9082" w:h="13561" w:hRule="exact" w:wrap="around" w:vAnchor="page" w:hAnchor="page" w:x="1427" w:y="1704"/>
        <w:shd w:val="clear" w:color="auto" w:fill="auto"/>
        <w:spacing w:before="0"/>
        <w:ind w:left="20" w:right="20" w:firstLine="280"/>
      </w:pPr>
      <w:r>
        <w:t>Отже, утримати стабільність банківської системи д</w:t>
      </w:r>
      <w:r>
        <w:t>ержавним органам Російської Федерації вдалося, проте диспропорції у структурі економіки та значна залежність від зовнішніх ринків роблять банківську систему Росії дуже чутливою до зовнішніх та внутрішніх загроз, тому за умови відсутності трансфор</w:t>
      </w:r>
      <w:r>
        <w:softHyphen/>
        <w:t>мації в е</w:t>
      </w:r>
      <w:r>
        <w:t>кономіці Росії ефективність державного регулювання банківського сектору буде знижуватися, як і самі показники її стійкості.</w:t>
      </w:r>
    </w:p>
    <w:p w:rsidR="00862FF6" w:rsidRDefault="00F40C79">
      <w:pPr>
        <w:pStyle w:val="a7"/>
        <w:framePr w:w="9082" w:h="13561" w:hRule="exact" w:wrap="around" w:vAnchor="page" w:hAnchor="page" w:x="1427" w:y="1704"/>
        <w:shd w:val="clear" w:color="auto" w:fill="auto"/>
        <w:spacing w:before="0"/>
        <w:ind w:left="20" w:right="20" w:firstLine="280"/>
      </w:pPr>
      <w:r>
        <w:t xml:space="preserve">Що стосується України, фінансові індикатори впродовж 2004-2007 </w:t>
      </w:r>
      <w:r>
        <w:rPr>
          <w:lang w:val="en-US" w:eastAsia="en-US" w:bidi="en-US"/>
        </w:rPr>
        <w:t xml:space="preserve">pp. </w:t>
      </w:r>
      <w:r>
        <w:t>були значно гіршими порівняно з банківськими системами аналізован</w:t>
      </w:r>
      <w:r>
        <w:t>их країн, зокрема в частині управління кредитними ризиками банківської системи. Однак простежувалися тенденції до покращення визначених показ</w:t>
      </w:r>
      <w:r>
        <w:softHyphen/>
        <w:t xml:space="preserve">ників: частка недіючих кредитів зменшувалася: у 2004 </w:t>
      </w:r>
      <w:r>
        <w:rPr>
          <w:lang w:val="en-US" w:eastAsia="en-US" w:bidi="en-US"/>
        </w:rPr>
        <w:t xml:space="preserve">p.- </w:t>
      </w:r>
      <w:r>
        <w:t>30%, у 2005 р. - 19,6%, у 2006 р. - 17,8%, у 2007 р. - 13</w:t>
      </w:r>
      <w:r>
        <w:t>,2%; частка покриття страховими резервами проблемної заборгованості за креди</w:t>
      </w:r>
      <w:r>
        <w:softHyphen/>
        <w:t xml:space="preserve">тами зростала: у 2004 р. - 21,1%, у 2005 р. - 25,0%, у 2006 </w:t>
      </w:r>
      <w:r>
        <w:rPr>
          <w:lang w:val="en-US" w:eastAsia="en-US" w:bidi="en-US"/>
        </w:rPr>
        <w:t xml:space="preserve">p.- </w:t>
      </w:r>
      <w:r>
        <w:t>23,1%, у 2007 р. - 26,3%; рентабель</w:t>
      </w:r>
      <w:r>
        <w:softHyphen/>
        <w:t>ність активів була на належному рівні у 2004 р. - 1,1%, у 2005 р. - 1,3%, у 200</w:t>
      </w:r>
      <w:r>
        <w:t>6 р. - 1,6%, у 2007 р. - 1,5% [1].</w:t>
      </w:r>
    </w:p>
    <w:p w:rsidR="00862FF6" w:rsidRDefault="00F40C79">
      <w:pPr>
        <w:pStyle w:val="a7"/>
        <w:framePr w:w="9082" w:h="13561" w:hRule="exact" w:wrap="around" w:vAnchor="page" w:hAnchor="page" w:x="1427" w:y="1704"/>
        <w:shd w:val="clear" w:color="auto" w:fill="auto"/>
        <w:spacing w:before="0"/>
        <w:ind w:left="20" w:right="20" w:firstLine="280"/>
      </w:pPr>
      <w:r>
        <w:t>До вересня 2008 р. банківський сектор України динамічно розвивався: темпи зростання банків</w:t>
      </w:r>
      <w:r>
        <w:softHyphen/>
        <w:t xml:space="preserve">ських активів становили: у 2005 р. - 159,2%; у 2006 </w:t>
      </w:r>
      <w:r>
        <w:rPr>
          <w:lang w:val="en-US" w:eastAsia="en-US" w:bidi="en-US"/>
        </w:rPr>
        <w:t xml:space="preserve">p.- </w:t>
      </w:r>
      <w:r>
        <w:t xml:space="preserve">159,1%; у 2007 р. - 176,2%; у 2008 р. - 154,7%, темпи зростання кредитних </w:t>
      </w:r>
      <w:r>
        <w:t>операцій відповідно становили: у 2005 р. - 161,2%; у 2006 р.- 171,7%; у 2007 р. - 180,9%; у 2008 р. - 163,2% [5]. Цьому сприяли високі темпи зростання ВВП (у 2005 р. - 102,7%, у 2006 р. - 107,3%, у 2007 р. - 107,9%), значні темпи зростання реальної зарплат</w:t>
      </w:r>
      <w:r>
        <w:t>и (у 2005 р. - 120,3%, у 2006 р. - 118,3%, у 2007 р. - 112,5%) [5], позитивне сальдо платіжного балансу, значний приплив іноземних інвестицій, зокрема у банківський сектор (частка іноземного капіталу у статутних капіталах банків у 2004 р. становила - 9,6%,</w:t>
      </w:r>
      <w:r>
        <w:t xml:space="preserve"> у 2005 р. - 19,5%, у 2006 р. - 27,6%, у 2007 </w:t>
      </w:r>
      <w:r>
        <w:rPr>
          <w:lang w:val="en-US" w:eastAsia="en-US" w:bidi="en-US"/>
        </w:rPr>
        <w:t xml:space="preserve">p.- </w:t>
      </w:r>
      <w:r>
        <w:t>35,0%) [5]. Однак відсутність структурних реформ у країні, нераціональна структура платіжного балансу, неузгодженість бюджетної та монетарної політики, політичні колізії, лібералізація економічного регулюва</w:t>
      </w:r>
      <w:r>
        <w:t>ння були нездатні сформувати надійний фундамент стійкості економіки країни до зовнішніх фінансових збурень. А зростання кредитних ризиків, недоформування резервів під можливі втрати за кредитними операціями, неузгодженість банківських активів та пасивів за</w:t>
      </w:r>
      <w:r>
        <w:t xml:space="preserve"> обсягами, строками та дохідністю призвели до того, що з осені 2008 р. Україна ввійшла у кризу ліквідності банківської системи. Ефективність державного регулювання банківської системи різко знизилася. Це підтверджується фінансовою статистикою: частка недію</w:t>
      </w:r>
      <w:r>
        <w:t>чих кредитів почала стрімко зростати - у 2008 р. вона становила 17,4%, у 2009 р. - 33,8%, частка страхових резервів на покриття втрат за проблемною заборгованістю перебувала на низькому рівні: 2008 р. - 29,6%, у 2009 р. - 32,3%, рентабельність активів змен</w:t>
      </w:r>
      <w:r>
        <w:t>шилася: у 2008 р. - 1,1%, а в 2009 р. показник набув від’ємного значення і становив (-4,4 %) [1].</w:t>
      </w:r>
    </w:p>
    <w:p w:rsidR="00862FF6" w:rsidRDefault="00F40C79">
      <w:pPr>
        <w:pStyle w:val="32"/>
        <w:framePr w:wrap="around" w:vAnchor="page" w:hAnchor="page" w:x="1417" w:y="15550"/>
        <w:shd w:val="clear" w:color="auto" w:fill="auto"/>
        <w:spacing w:line="130" w:lineRule="exact"/>
        <w:ind w:left="20"/>
      </w:pPr>
      <w:r>
        <w:t>Наука молода № 19, 2013 р.</w:t>
      </w:r>
    </w:p>
    <w:p w:rsidR="00862FF6" w:rsidRDefault="00F40C79">
      <w:pPr>
        <w:pStyle w:val="a5"/>
        <w:framePr w:wrap="around" w:vAnchor="page" w:hAnchor="page" w:x="10201" w:y="15579"/>
        <w:shd w:val="clear" w:color="auto" w:fill="auto"/>
        <w:spacing w:before="0" w:line="160" w:lineRule="exact"/>
        <w:ind w:left="20"/>
      </w:pPr>
      <w:r>
        <w:t>109</w:t>
      </w:r>
    </w:p>
    <w:p w:rsidR="00862FF6" w:rsidRDefault="00862FF6">
      <w:pPr>
        <w:rPr>
          <w:sz w:val="2"/>
          <w:szCs w:val="2"/>
        </w:rPr>
        <w:sectPr w:rsidR="00862FF6">
          <w:pgSz w:w="11909" w:h="16838"/>
          <w:pgMar w:top="0" w:right="0" w:bottom="0" w:left="0" w:header="0" w:footer="3" w:gutter="0"/>
          <w:cols w:space="720"/>
          <w:noEndnote/>
          <w:docGrid w:linePitch="360"/>
        </w:sectPr>
      </w:pPr>
    </w:p>
    <w:p w:rsidR="00862FF6" w:rsidRDefault="00F40C79">
      <w:pPr>
        <w:pStyle w:val="20"/>
        <w:framePr w:w="4066" w:h="461" w:hRule="exact" w:wrap="around" w:vAnchor="page" w:hAnchor="page" w:x="1388" w:y="1066"/>
        <w:shd w:val="clear" w:color="auto" w:fill="auto"/>
        <w:spacing w:after="51" w:line="150" w:lineRule="exact"/>
        <w:ind w:left="40"/>
      </w:pPr>
      <w:r>
        <w:lastRenderedPageBreak/>
        <w:t>С. Лобовинська</w:t>
      </w:r>
    </w:p>
    <w:p w:rsidR="00862FF6" w:rsidRDefault="00F40C79">
      <w:pPr>
        <w:pStyle w:val="a5"/>
        <w:framePr w:w="4066" w:h="461" w:hRule="exact" w:wrap="around" w:vAnchor="page" w:hAnchor="page" w:x="1388" w:y="1066"/>
        <w:shd w:val="clear" w:color="auto" w:fill="auto"/>
        <w:spacing w:before="0" w:line="160" w:lineRule="exact"/>
        <w:ind w:left="40"/>
      </w:pPr>
      <w:r>
        <w:t>Аналітика проблемної заборгованості ...</w:t>
      </w:r>
    </w:p>
    <w:p w:rsidR="00862FF6" w:rsidRDefault="00F40C79">
      <w:pPr>
        <w:pStyle w:val="a7"/>
        <w:framePr w:w="9096" w:h="5718" w:hRule="exact" w:wrap="around" w:vAnchor="page" w:hAnchor="page" w:x="1427" w:y="1705"/>
        <w:shd w:val="clear" w:color="auto" w:fill="auto"/>
        <w:spacing w:before="0" w:line="245" w:lineRule="exact"/>
        <w:ind w:left="20" w:right="20" w:firstLine="280"/>
      </w:pPr>
      <w:r>
        <w:t xml:space="preserve">Важливою проблемою цього періоду, яку не вдалося </w:t>
      </w:r>
      <w:r>
        <w:t>вирішити державним банківським регулятором впродовж аналізованого періоду, є висока частка недіючих кредитів у загальному обсязі кредитів за системою банків України. Тому існує потреба з’ясувати, від яких чинників залежить величина частки недіючих кредитів</w:t>
      </w:r>
      <w:r>
        <w:t xml:space="preserve"> і яким має бути механізм регулювання, щоб ця частка планомірно зменшувалася для досягнення належного рівня фінансової стійкості банківським сектором. Для цього необхідно перейти до вивчення причинно-наслідкових зв’язків досліджуваного результативного пока</w:t>
      </w:r>
      <w:r>
        <w:t>зника з незалежними змінними при використанні кореляційно-регресійного аналізу.</w:t>
      </w:r>
    </w:p>
    <w:p w:rsidR="00862FF6" w:rsidRDefault="00F40C79">
      <w:pPr>
        <w:pStyle w:val="a7"/>
        <w:framePr w:w="9096" w:h="5718" w:hRule="exact" w:wrap="around" w:vAnchor="page" w:hAnchor="page" w:x="1427" w:y="1705"/>
        <w:shd w:val="clear" w:color="auto" w:fill="auto"/>
        <w:spacing w:before="0" w:line="245" w:lineRule="exact"/>
        <w:ind w:left="20" w:right="20" w:firstLine="280"/>
      </w:pPr>
      <w:r>
        <w:t xml:space="preserve">Для проведення кореляційно-регресійного аналізу ми обрали результативний показник </w:t>
      </w:r>
      <w:r>
        <w:rPr>
          <w:rStyle w:val="0pt"/>
          <w:lang w:val="uk-UA" w:eastAsia="uk-UA" w:bidi="uk-UA"/>
        </w:rPr>
        <w:t>у</w:t>
      </w:r>
      <w:r>
        <w:t xml:space="preserve"> - частка недіючих кредитів у загальному кредитному портфелі банківської системи. Обрання цьо</w:t>
      </w:r>
      <w:r>
        <w:t>го показника для кореляційно-регресійного аналізу зумовлено тим, що він відображає вразливість вітчизняної банківської системи щодо ризиків кредитної діяльності, яка є ключовою у забезпеченні життєдіяльності банківської установи.</w:t>
      </w:r>
    </w:p>
    <w:p w:rsidR="00862FF6" w:rsidRDefault="00F40C79">
      <w:pPr>
        <w:pStyle w:val="a7"/>
        <w:framePr w:w="9096" w:h="5718" w:hRule="exact" w:wrap="around" w:vAnchor="page" w:hAnchor="page" w:x="1427" w:y="1705"/>
        <w:shd w:val="clear" w:color="auto" w:fill="auto"/>
        <w:spacing w:before="0" w:after="128" w:line="245" w:lineRule="exact"/>
        <w:ind w:left="20" w:right="20" w:firstLine="280"/>
      </w:pPr>
      <w:r>
        <w:t>На першому етапі для прове</w:t>
      </w:r>
      <w:r>
        <w:t>дення регресійного аналізу результативної змінної ми обрали чинники, які мають найбільший вплив на неї. На основі логічного підходу і за допомогою обчислення матриць парних кореляцій між вибраними чинниками (їхніми нормованими значеннями), а також між кожн</w:t>
      </w:r>
      <w:r>
        <w:t>им чинником та результативною (залежною) змінною було відібрано чинники, які мають найвище значення коефіцієнта кореляції з результативною змінною. Отже, ми будуватимемо залежність між вибраними факторами та результативною змінною (</w:t>
      </w:r>
      <w:r>
        <w:rPr>
          <w:rStyle w:val="0pt"/>
          <w:lang w:val="uk-UA" w:eastAsia="uk-UA" w:bidi="uk-UA"/>
        </w:rPr>
        <w:t>у</w:t>
      </w:r>
      <w:r>
        <w:t>), які вибрали як залеж</w:t>
      </w:r>
      <w:r>
        <w:t>ні змінні (табл. 2).</w:t>
      </w:r>
    </w:p>
    <w:p w:rsidR="00862FF6" w:rsidRDefault="00F40C79">
      <w:pPr>
        <w:pStyle w:val="30"/>
        <w:framePr w:w="9096" w:h="5718" w:hRule="exact" w:wrap="around" w:vAnchor="page" w:hAnchor="page" w:x="1427" w:y="1705"/>
        <w:shd w:val="clear" w:color="auto" w:fill="auto"/>
        <w:spacing w:before="0" w:after="97" w:line="160" w:lineRule="exact"/>
        <w:ind w:right="20" w:firstLine="0"/>
        <w:jc w:val="right"/>
      </w:pPr>
      <w:r>
        <w:t>Таблиця 2</w:t>
      </w:r>
    </w:p>
    <w:p w:rsidR="00862FF6" w:rsidRDefault="00F40C79">
      <w:pPr>
        <w:pStyle w:val="50"/>
        <w:framePr w:w="9096" w:h="5718" w:hRule="exact" w:wrap="around" w:vAnchor="page" w:hAnchor="page" w:x="1427" w:y="1705"/>
        <w:shd w:val="clear" w:color="auto" w:fill="auto"/>
        <w:spacing w:before="0" w:after="0"/>
      </w:pPr>
      <w:r>
        <w:t>Сукупність показників</w:t>
      </w:r>
      <w:r>
        <w:rPr>
          <w:rStyle w:val="50pt"/>
        </w:rPr>
        <w:t xml:space="preserve">, </w:t>
      </w:r>
      <w:r>
        <w:t>які використовуватимуться у регресійній моделі для визначення ступеня впливу незалежних змінних на залежну /-частку недіючих кредитів у загальному обсязі кредитів банківської системи України</w:t>
      </w:r>
      <w:r>
        <w:rPr>
          <w:rStyle w:val="50pt"/>
        </w:rPr>
        <w:t>, (%) [1, 5]</w:t>
      </w:r>
    </w:p>
    <w:tbl>
      <w:tblPr>
        <w:tblOverlap w:val="never"/>
        <w:tblW w:w="0" w:type="auto"/>
        <w:tblLayout w:type="fixed"/>
        <w:tblCellMar>
          <w:left w:w="10" w:type="dxa"/>
          <w:right w:w="10" w:type="dxa"/>
        </w:tblCellMar>
        <w:tblLook w:val="04A0"/>
      </w:tblPr>
      <w:tblGrid>
        <w:gridCol w:w="1229"/>
        <w:gridCol w:w="1411"/>
        <w:gridCol w:w="2808"/>
        <w:gridCol w:w="1992"/>
        <w:gridCol w:w="1637"/>
      </w:tblGrid>
      <w:tr w:rsidR="00862FF6">
        <w:tblPrEx>
          <w:tblCellMar>
            <w:top w:w="0" w:type="dxa"/>
            <w:bottom w:w="0" w:type="dxa"/>
          </w:tblCellMar>
        </w:tblPrEx>
        <w:trPr>
          <w:trHeight w:hRule="exact" w:val="653"/>
        </w:trPr>
        <w:tc>
          <w:tcPr>
            <w:tcW w:w="1229" w:type="dxa"/>
            <w:tcBorders>
              <w:top w:val="single" w:sz="4" w:space="0" w:color="auto"/>
              <w:left w:val="single" w:sz="4" w:space="0" w:color="auto"/>
            </w:tcBorders>
            <w:shd w:val="clear" w:color="auto" w:fill="FFFFFF"/>
            <w:vAlign w:val="center"/>
          </w:tcPr>
          <w:p w:rsidR="00862FF6" w:rsidRDefault="00F40C79">
            <w:pPr>
              <w:pStyle w:val="a7"/>
              <w:framePr w:w="9077" w:h="2678" w:wrap="around" w:vAnchor="page" w:hAnchor="page" w:x="1431" w:y="7604"/>
              <w:shd w:val="clear" w:color="auto" w:fill="auto"/>
              <w:spacing w:before="0" w:line="150" w:lineRule="exact"/>
              <w:ind w:left="140"/>
              <w:jc w:val="left"/>
            </w:pPr>
            <w:r>
              <w:rPr>
                <w:rStyle w:val="75pt0pt"/>
              </w:rPr>
              <w:t>Період</w:t>
            </w:r>
          </w:p>
        </w:tc>
        <w:tc>
          <w:tcPr>
            <w:tcW w:w="1411" w:type="dxa"/>
            <w:tcBorders>
              <w:top w:val="single" w:sz="4" w:space="0" w:color="auto"/>
              <w:left w:val="single" w:sz="4" w:space="0" w:color="auto"/>
            </w:tcBorders>
            <w:shd w:val="clear" w:color="auto" w:fill="FFFFFF"/>
            <w:vAlign w:val="center"/>
          </w:tcPr>
          <w:p w:rsidR="00862FF6" w:rsidRDefault="00F40C79">
            <w:pPr>
              <w:pStyle w:val="a7"/>
              <w:framePr w:w="9077" w:h="2678" w:wrap="around" w:vAnchor="page" w:hAnchor="page" w:x="1431" w:y="7604"/>
              <w:shd w:val="clear" w:color="auto" w:fill="auto"/>
              <w:spacing w:before="0" w:line="182" w:lineRule="exact"/>
              <w:jc w:val="center"/>
            </w:pPr>
            <w:r>
              <w:rPr>
                <w:rStyle w:val="75pt0pt"/>
              </w:rPr>
              <w:t>Частка</w:t>
            </w:r>
          </w:p>
          <w:p w:rsidR="00862FF6" w:rsidRDefault="00F40C79">
            <w:pPr>
              <w:pStyle w:val="a7"/>
              <w:framePr w:w="9077" w:h="2678" w:wrap="around" w:vAnchor="page" w:hAnchor="page" w:x="1431" w:y="7604"/>
              <w:shd w:val="clear" w:color="auto" w:fill="auto"/>
              <w:spacing w:before="0" w:line="182" w:lineRule="exact"/>
              <w:jc w:val="center"/>
            </w:pPr>
            <w:r>
              <w:rPr>
                <w:rStyle w:val="75pt0pt"/>
              </w:rPr>
              <w:t>недіючих</w:t>
            </w:r>
          </w:p>
          <w:p w:rsidR="00862FF6" w:rsidRDefault="00F40C79">
            <w:pPr>
              <w:pStyle w:val="a7"/>
              <w:framePr w:w="9077" w:h="2678" w:wrap="around" w:vAnchor="page" w:hAnchor="page" w:x="1431" w:y="7604"/>
              <w:shd w:val="clear" w:color="auto" w:fill="auto"/>
              <w:spacing w:before="0" w:line="182" w:lineRule="exact"/>
              <w:jc w:val="center"/>
            </w:pPr>
            <w:r>
              <w:rPr>
                <w:rStyle w:val="75pt0pt"/>
              </w:rPr>
              <w:t>кредитів</w:t>
            </w:r>
          </w:p>
        </w:tc>
        <w:tc>
          <w:tcPr>
            <w:tcW w:w="2808" w:type="dxa"/>
            <w:tcBorders>
              <w:top w:val="single" w:sz="4" w:space="0" w:color="auto"/>
              <w:left w:val="single" w:sz="4" w:space="0" w:color="auto"/>
            </w:tcBorders>
            <w:shd w:val="clear" w:color="auto" w:fill="FFFFFF"/>
            <w:vAlign w:val="center"/>
          </w:tcPr>
          <w:p w:rsidR="00862FF6" w:rsidRDefault="00F40C79">
            <w:pPr>
              <w:pStyle w:val="a7"/>
              <w:framePr w:w="9077" w:h="2678" w:wrap="around" w:vAnchor="page" w:hAnchor="page" w:x="1431" w:y="7604"/>
              <w:shd w:val="clear" w:color="auto" w:fill="auto"/>
              <w:spacing w:before="0" w:line="187" w:lineRule="exact"/>
              <w:jc w:val="center"/>
            </w:pPr>
            <w:r>
              <w:rPr>
                <w:rStyle w:val="75pt0pt"/>
              </w:rPr>
              <w:t>Рівень покриття страховими резервами</w:t>
            </w:r>
          </w:p>
        </w:tc>
        <w:tc>
          <w:tcPr>
            <w:tcW w:w="1992" w:type="dxa"/>
            <w:tcBorders>
              <w:top w:val="single" w:sz="4" w:space="0" w:color="auto"/>
              <w:left w:val="single" w:sz="4" w:space="0" w:color="auto"/>
            </w:tcBorders>
            <w:shd w:val="clear" w:color="auto" w:fill="FFFFFF"/>
            <w:vAlign w:val="center"/>
          </w:tcPr>
          <w:p w:rsidR="00862FF6" w:rsidRDefault="00F40C79">
            <w:pPr>
              <w:pStyle w:val="a7"/>
              <w:framePr w:w="9077" w:h="2678" w:wrap="around" w:vAnchor="page" w:hAnchor="page" w:x="1431" w:y="7604"/>
              <w:shd w:val="clear" w:color="auto" w:fill="auto"/>
              <w:spacing w:before="0" w:line="182" w:lineRule="exact"/>
              <w:jc w:val="center"/>
            </w:pPr>
            <w:r>
              <w:rPr>
                <w:rStyle w:val="75pt0pt"/>
              </w:rPr>
              <w:t>Середньозважена процентна ставка за кредитами</w:t>
            </w:r>
          </w:p>
        </w:tc>
        <w:tc>
          <w:tcPr>
            <w:tcW w:w="1637" w:type="dxa"/>
            <w:tcBorders>
              <w:top w:val="single" w:sz="4" w:space="0" w:color="auto"/>
              <w:left w:val="single" w:sz="4" w:space="0" w:color="auto"/>
              <w:right w:val="single" w:sz="4" w:space="0" w:color="auto"/>
            </w:tcBorders>
            <w:shd w:val="clear" w:color="auto" w:fill="FFFFFF"/>
            <w:vAlign w:val="center"/>
          </w:tcPr>
          <w:p w:rsidR="00862FF6" w:rsidRDefault="00F40C79">
            <w:pPr>
              <w:pStyle w:val="a7"/>
              <w:framePr w:w="9077" w:h="2678" w:wrap="around" w:vAnchor="page" w:hAnchor="page" w:x="1431" w:y="7604"/>
              <w:shd w:val="clear" w:color="auto" w:fill="auto"/>
              <w:spacing w:before="0" w:line="187" w:lineRule="exact"/>
              <w:jc w:val="center"/>
            </w:pPr>
            <w:r>
              <w:rPr>
                <w:rStyle w:val="75pt0pt"/>
              </w:rPr>
              <w:t>Темпи зростання кредитів</w:t>
            </w:r>
          </w:p>
        </w:tc>
      </w:tr>
      <w:tr w:rsidR="00862FF6">
        <w:tblPrEx>
          <w:tblCellMar>
            <w:top w:w="0" w:type="dxa"/>
            <w:bottom w:w="0" w:type="dxa"/>
          </w:tblCellMar>
        </w:tblPrEx>
        <w:trPr>
          <w:trHeight w:hRule="exact" w:val="336"/>
        </w:trPr>
        <w:tc>
          <w:tcPr>
            <w:tcW w:w="1229" w:type="dxa"/>
            <w:tcBorders>
              <w:top w:val="single" w:sz="4" w:space="0" w:color="auto"/>
              <w:left w:val="single" w:sz="4" w:space="0" w:color="auto"/>
            </w:tcBorders>
            <w:shd w:val="clear" w:color="auto" w:fill="FFFFFF"/>
          </w:tcPr>
          <w:p w:rsidR="00862FF6" w:rsidRDefault="00862FF6">
            <w:pPr>
              <w:framePr w:w="9077" w:h="2678" w:wrap="around" w:vAnchor="page" w:hAnchor="page" w:x="1431" w:y="7604"/>
              <w:rPr>
                <w:sz w:val="10"/>
                <w:szCs w:val="10"/>
              </w:rPr>
            </w:pPr>
          </w:p>
        </w:tc>
        <w:tc>
          <w:tcPr>
            <w:tcW w:w="1411" w:type="dxa"/>
            <w:tcBorders>
              <w:top w:val="single" w:sz="4" w:space="0" w:color="auto"/>
              <w:left w:val="single" w:sz="4" w:space="0" w:color="auto"/>
            </w:tcBorders>
            <w:shd w:val="clear" w:color="auto" w:fill="FFFFFF"/>
            <w:vAlign w:val="center"/>
          </w:tcPr>
          <w:p w:rsidR="00862FF6" w:rsidRDefault="00F40C79">
            <w:pPr>
              <w:pStyle w:val="a7"/>
              <w:framePr w:w="9077" w:h="2678" w:wrap="around" w:vAnchor="page" w:hAnchor="page" w:x="1431" w:y="7604"/>
              <w:shd w:val="clear" w:color="auto" w:fill="auto"/>
              <w:spacing w:before="0" w:line="120" w:lineRule="exact"/>
              <w:jc w:val="center"/>
            </w:pPr>
            <w:r>
              <w:rPr>
                <w:rStyle w:val="6pt0pt"/>
              </w:rPr>
              <w:t>/</w:t>
            </w:r>
          </w:p>
        </w:tc>
        <w:tc>
          <w:tcPr>
            <w:tcW w:w="2808" w:type="dxa"/>
            <w:tcBorders>
              <w:top w:val="single" w:sz="4" w:space="0" w:color="auto"/>
              <w:left w:val="single" w:sz="4" w:space="0" w:color="auto"/>
            </w:tcBorders>
            <w:shd w:val="clear" w:color="auto" w:fill="FFFFFF"/>
            <w:vAlign w:val="center"/>
          </w:tcPr>
          <w:p w:rsidR="00862FF6" w:rsidRDefault="00F40C79">
            <w:pPr>
              <w:pStyle w:val="a7"/>
              <w:framePr w:w="9077" w:h="2678" w:wrap="around" w:vAnchor="page" w:hAnchor="page" w:x="1431" w:y="7604"/>
              <w:shd w:val="clear" w:color="auto" w:fill="auto"/>
              <w:spacing w:before="0" w:line="140" w:lineRule="exact"/>
              <w:jc w:val="center"/>
            </w:pPr>
            <w:r>
              <w:rPr>
                <w:rStyle w:val="ArialUnicodeMS7pt0pt"/>
              </w:rPr>
              <w:t>Х</w:t>
            </w:r>
            <w:r>
              <w:rPr>
                <w:rStyle w:val="Garamond6pt0pt"/>
              </w:rPr>
              <w:t>і</w:t>
            </w:r>
          </w:p>
        </w:tc>
        <w:tc>
          <w:tcPr>
            <w:tcW w:w="1992" w:type="dxa"/>
            <w:tcBorders>
              <w:top w:val="single" w:sz="4" w:space="0" w:color="auto"/>
              <w:left w:val="single" w:sz="4" w:space="0" w:color="auto"/>
            </w:tcBorders>
            <w:shd w:val="clear" w:color="auto" w:fill="FFFFFF"/>
            <w:vAlign w:val="center"/>
          </w:tcPr>
          <w:p w:rsidR="00862FF6" w:rsidRDefault="00F40C79">
            <w:pPr>
              <w:pStyle w:val="a7"/>
              <w:framePr w:w="9077" w:h="2678" w:wrap="around" w:vAnchor="page" w:hAnchor="page" w:x="1431" w:y="7604"/>
              <w:shd w:val="clear" w:color="auto" w:fill="auto"/>
              <w:spacing w:before="0" w:line="140" w:lineRule="exact"/>
              <w:jc w:val="center"/>
            </w:pPr>
            <w:r>
              <w:rPr>
                <w:rStyle w:val="ArialUnicodeMS7pt0pt"/>
              </w:rPr>
              <w:t>X</w:t>
            </w:r>
            <w:r>
              <w:rPr>
                <w:rStyle w:val="Sylfaen55pt0pt"/>
              </w:rPr>
              <w:t xml:space="preserve"> 2</w:t>
            </w:r>
          </w:p>
        </w:tc>
        <w:tc>
          <w:tcPr>
            <w:tcW w:w="1637" w:type="dxa"/>
            <w:tcBorders>
              <w:top w:val="single" w:sz="4" w:space="0" w:color="auto"/>
              <w:left w:val="single" w:sz="4" w:space="0" w:color="auto"/>
              <w:right w:val="single" w:sz="4" w:space="0" w:color="auto"/>
            </w:tcBorders>
            <w:shd w:val="clear" w:color="auto" w:fill="FFFFFF"/>
            <w:vAlign w:val="center"/>
          </w:tcPr>
          <w:p w:rsidR="00862FF6" w:rsidRDefault="00F40C79">
            <w:pPr>
              <w:pStyle w:val="a7"/>
              <w:framePr w:w="9077" w:h="2678" w:wrap="around" w:vAnchor="page" w:hAnchor="page" w:x="1431" w:y="7604"/>
              <w:shd w:val="clear" w:color="auto" w:fill="auto"/>
              <w:spacing w:before="0" w:line="120" w:lineRule="exact"/>
              <w:jc w:val="center"/>
            </w:pPr>
            <w:r>
              <w:rPr>
                <w:rStyle w:val="6pt0pt"/>
              </w:rPr>
              <w:t>^</w:t>
            </w:r>
            <w:r>
              <w:rPr>
                <w:rStyle w:val="Sylfaen55pt0pt"/>
              </w:rPr>
              <w:t>3</w:t>
            </w:r>
          </w:p>
        </w:tc>
      </w:tr>
      <w:tr w:rsidR="00862FF6">
        <w:tblPrEx>
          <w:tblCellMar>
            <w:top w:w="0" w:type="dxa"/>
            <w:bottom w:w="0" w:type="dxa"/>
          </w:tblCellMar>
        </w:tblPrEx>
        <w:trPr>
          <w:trHeight w:hRule="exact" w:val="278"/>
        </w:trPr>
        <w:tc>
          <w:tcPr>
            <w:tcW w:w="1229" w:type="dxa"/>
            <w:tcBorders>
              <w:top w:val="single" w:sz="4" w:space="0" w:color="auto"/>
              <w:left w:val="single" w:sz="4" w:space="0" w:color="auto"/>
            </w:tcBorders>
            <w:shd w:val="clear" w:color="auto" w:fill="FFFFFF"/>
            <w:vAlign w:val="bottom"/>
          </w:tcPr>
          <w:p w:rsidR="00862FF6" w:rsidRDefault="00F40C79">
            <w:pPr>
              <w:pStyle w:val="a7"/>
              <w:framePr w:w="9077" w:h="2678" w:wrap="around" w:vAnchor="page" w:hAnchor="page" w:x="1431" w:y="7604"/>
              <w:shd w:val="clear" w:color="auto" w:fill="auto"/>
              <w:spacing w:before="0" w:line="120" w:lineRule="exact"/>
              <w:ind w:left="140"/>
              <w:jc w:val="left"/>
            </w:pPr>
            <w:r>
              <w:rPr>
                <w:rStyle w:val="6pt0pt"/>
              </w:rPr>
              <w:t>01.01.2006 р.</w:t>
            </w:r>
          </w:p>
        </w:tc>
        <w:tc>
          <w:tcPr>
            <w:tcW w:w="1411" w:type="dxa"/>
            <w:tcBorders>
              <w:top w:val="single" w:sz="4" w:space="0" w:color="auto"/>
              <w:left w:val="single" w:sz="4" w:space="0" w:color="auto"/>
            </w:tcBorders>
            <w:shd w:val="clear" w:color="auto" w:fill="FFFFFF"/>
            <w:vAlign w:val="bottom"/>
          </w:tcPr>
          <w:p w:rsidR="00862FF6" w:rsidRDefault="00F40C79">
            <w:pPr>
              <w:pStyle w:val="a7"/>
              <w:framePr w:w="9077" w:h="2678" w:wrap="around" w:vAnchor="page" w:hAnchor="page" w:x="1431" w:y="7604"/>
              <w:shd w:val="clear" w:color="auto" w:fill="auto"/>
              <w:spacing w:before="0" w:line="120" w:lineRule="exact"/>
              <w:jc w:val="center"/>
            </w:pPr>
            <w:r>
              <w:rPr>
                <w:rStyle w:val="6pt0pt"/>
              </w:rPr>
              <w:t>19,60</w:t>
            </w:r>
          </w:p>
        </w:tc>
        <w:tc>
          <w:tcPr>
            <w:tcW w:w="2808" w:type="dxa"/>
            <w:tcBorders>
              <w:top w:val="single" w:sz="4" w:space="0" w:color="auto"/>
              <w:left w:val="single" w:sz="4" w:space="0" w:color="auto"/>
            </w:tcBorders>
            <w:shd w:val="clear" w:color="auto" w:fill="FFFFFF"/>
            <w:vAlign w:val="bottom"/>
          </w:tcPr>
          <w:p w:rsidR="00862FF6" w:rsidRDefault="00F40C79">
            <w:pPr>
              <w:pStyle w:val="a7"/>
              <w:framePr w:w="9077" w:h="2678" w:wrap="around" w:vAnchor="page" w:hAnchor="page" w:x="1431" w:y="7604"/>
              <w:shd w:val="clear" w:color="auto" w:fill="auto"/>
              <w:spacing w:before="0" w:line="120" w:lineRule="exact"/>
              <w:jc w:val="center"/>
            </w:pPr>
            <w:r>
              <w:rPr>
                <w:rStyle w:val="6pt0pt"/>
              </w:rPr>
              <w:t>25,00</w:t>
            </w:r>
          </w:p>
        </w:tc>
        <w:tc>
          <w:tcPr>
            <w:tcW w:w="1992" w:type="dxa"/>
            <w:tcBorders>
              <w:top w:val="single" w:sz="4" w:space="0" w:color="auto"/>
              <w:left w:val="single" w:sz="4" w:space="0" w:color="auto"/>
            </w:tcBorders>
            <w:shd w:val="clear" w:color="auto" w:fill="FFFFFF"/>
            <w:vAlign w:val="bottom"/>
          </w:tcPr>
          <w:p w:rsidR="00862FF6" w:rsidRDefault="00F40C79">
            <w:pPr>
              <w:pStyle w:val="a7"/>
              <w:framePr w:w="9077" w:h="2678" w:wrap="around" w:vAnchor="page" w:hAnchor="page" w:x="1431" w:y="7604"/>
              <w:shd w:val="clear" w:color="auto" w:fill="auto"/>
              <w:spacing w:before="0" w:line="120" w:lineRule="exact"/>
              <w:jc w:val="center"/>
            </w:pPr>
            <w:r>
              <w:rPr>
                <w:rStyle w:val="6pt0pt"/>
              </w:rPr>
              <w:t>14,60</w:t>
            </w:r>
          </w:p>
        </w:tc>
        <w:tc>
          <w:tcPr>
            <w:tcW w:w="1637" w:type="dxa"/>
            <w:tcBorders>
              <w:top w:val="single" w:sz="4" w:space="0" w:color="auto"/>
              <w:left w:val="single" w:sz="4" w:space="0" w:color="auto"/>
              <w:right w:val="single" w:sz="4" w:space="0" w:color="auto"/>
            </w:tcBorders>
            <w:shd w:val="clear" w:color="auto" w:fill="FFFFFF"/>
            <w:vAlign w:val="bottom"/>
          </w:tcPr>
          <w:p w:rsidR="00862FF6" w:rsidRDefault="00F40C79">
            <w:pPr>
              <w:pStyle w:val="a7"/>
              <w:framePr w:w="9077" w:h="2678" w:wrap="around" w:vAnchor="page" w:hAnchor="page" w:x="1431" w:y="7604"/>
              <w:shd w:val="clear" w:color="auto" w:fill="auto"/>
              <w:spacing w:before="0" w:line="120" w:lineRule="exact"/>
              <w:jc w:val="center"/>
            </w:pPr>
            <w:r>
              <w:rPr>
                <w:rStyle w:val="6pt0pt"/>
              </w:rPr>
              <w:t>161,20</w:t>
            </w:r>
          </w:p>
        </w:tc>
      </w:tr>
      <w:tr w:rsidR="00862FF6">
        <w:tblPrEx>
          <w:tblCellMar>
            <w:top w:w="0" w:type="dxa"/>
            <w:bottom w:w="0" w:type="dxa"/>
          </w:tblCellMar>
        </w:tblPrEx>
        <w:trPr>
          <w:trHeight w:hRule="exact" w:val="283"/>
        </w:trPr>
        <w:tc>
          <w:tcPr>
            <w:tcW w:w="1229" w:type="dxa"/>
            <w:tcBorders>
              <w:top w:val="single" w:sz="4" w:space="0" w:color="auto"/>
              <w:left w:val="single" w:sz="4" w:space="0" w:color="auto"/>
            </w:tcBorders>
            <w:shd w:val="clear" w:color="auto" w:fill="FFFFFF"/>
            <w:vAlign w:val="bottom"/>
          </w:tcPr>
          <w:p w:rsidR="00862FF6" w:rsidRDefault="00F40C79">
            <w:pPr>
              <w:pStyle w:val="a7"/>
              <w:framePr w:w="9077" w:h="2678" w:wrap="around" w:vAnchor="page" w:hAnchor="page" w:x="1431" w:y="7604"/>
              <w:shd w:val="clear" w:color="auto" w:fill="auto"/>
              <w:spacing w:before="0" w:line="120" w:lineRule="exact"/>
              <w:ind w:left="140"/>
              <w:jc w:val="left"/>
            </w:pPr>
            <w:r>
              <w:rPr>
                <w:rStyle w:val="6pt0pt"/>
              </w:rPr>
              <w:t>01.01.2007 р.</w:t>
            </w:r>
          </w:p>
        </w:tc>
        <w:tc>
          <w:tcPr>
            <w:tcW w:w="1411" w:type="dxa"/>
            <w:tcBorders>
              <w:top w:val="single" w:sz="4" w:space="0" w:color="auto"/>
              <w:left w:val="single" w:sz="4" w:space="0" w:color="auto"/>
            </w:tcBorders>
            <w:shd w:val="clear" w:color="auto" w:fill="FFFFFF"/>
            <w:vAlign w:val="bottom"/>
          </w:tcPr>
          <w:p w:rsidR="00862FF6" w:rsidRDefault="00F40C79">
            <w:pPr>
              <w:pStyle w:val="a7"/>
              <w:framePr w:w="9077" w:h="2678" w:wrap="around" w:vAnchor="page" w:hAnchor="page" w:x="1431" w:y="7604"/>
              <w:shd w:val="clear" w:color="auto" w:fill="auto"/>
              <w:spacing w:before="0" w:line="120" w:lineRule="exact"/>
              <w:jc w:val="center"/>
            </w:pPr>
            <w:r>
              <w:rPr>
                <w:rStyle w:val="6pt0pt"/>
              </w:rPr>
              <w:t>17,80</w:t>
            </w:r>
          </w:p>
        </w:tc>
        <w:tc>
          <w:tcPr>
            <w:tcW w:w="2808" w:type="dxa"/>
            <w:tcBorders>
              <w:top w:val="single" w:sz="4" w:space="0" w:color="auto"/>
              <w:left w:val="single" w:sz="4" w:space="0" w:color="auto"/>
            </w:tcBorders>
            <w:shd w:val="clear" w:color="auto" w:fill="FFFFFF"/>
            <w:vAlign w:val="bottom"/>
          </w:tcPr>
          <w:p w:rsidR="00862FF6" w:rsidRDefault="00F40C79">
            <w:pPr>
              <w:pStyle w:val="a7"/>
              <w:framePr w:w="9077" w:h="2678" w:wrap="around" w:vAnchor="page" w:hAnchor="page" w:x="1431" w:y="7604"/>
              <w:shd w:val="clear" w:color="auto" w:fill="auto"/>
              <w:spacing w:before="0" w:line="120" w:lineRule="exact"/>
              <w:jc w:val="center"/>
            </w:pPr>
            <w:r>
              <w:rPr>
                <w:rStyle w:val="6pt0pt"/>
              </w:rPr>
              <w:t>23,10</w:t>
            </w:r>
          </w:p>
        </w:tc>
        <w:tc>
          <w:tcPr>
            <w:tcW w:w="1992" w:type="dxa"/>
            <w:tcBorders>
              <w:top w:val="single" w:sz="4" w:space="0" w:color="auto"/>
              <w:left w:val="single" w:sz="4" w:space="0" w:color="auto"/>
            </w:tcBorders>
            <w:shd w:val="clear" w:color="auto" w:fill="FFFFFF"/>
            <w:vAlign w:val="bottom"/>
          </w:tcPr>
          <w:p w:rsidR="00862FF6" w:rsidRDefault="00F40C79">
            <w:pPr>
              <w:pStyle w:val="a7"/>
              <w:framePr w:w="9077" w:h="2678" w:wrap="around" w:vAnchor="page" w:hAnchor="page" w:x="1431" w:y="7604"/>
              <w:shd w:val="clear" w:color="auto" w:fill="auto"/>
              <w:spacing w:before="0" w:line="120" w:lineRule="exact"/>
              <w:jc w:val="center"/>
            </w:pPr>
            <w:r>
              <w:rPr>
                <w:rStyle w:val="6pt0pt"/>
              </w:rPr>
              <w:t>14,10</w:t>
            </w:r>
          </w:p>
        </w:tc>
        <w:tc>
          <w:tcPr>
            <w:tcW w:w="1637" w:type="dxa"/>
            <w:tcBorders>
              <w:top w:val="single" w:sz="4" w:space="0" w:color="auto"/>
              <w:left w:val="single" w:sz="4" w:space="0" w:color="auto"/>
              <w:right w:val="single" w:sz="4" w:space="0" w:color="auto"/>
            </w:tcBorders>
            <w:shd w:val="clear" w:color="auto" w:fill="FFFFFF"/>
            <w:vAlign w:val="bottom"/>
          </w:tcPr>
          <w:p w:rsidR="00862FF6" w:rsidRDefault="00F40C79">
            <w:pPr>
              <w:pStyle w:val="a7"/>
              <w:framePr w:w="9077" w:h="2678" w:wrap="around" w:vAnchor="page" w:hAnchor="page" w:x="1431" w:y="7604"/>
              <w:shd w:val="clear" w:color="auto" w:fill="auto"/>
              <w:spacing w:before="0" w:line="120" w:lineRule="exact"/>
              <w:jc w:val="center"/>
            </w:pPr>
            <w:r>
              <w:rPr>
                <w:rStyle w:val="6pt0pt"/>
              </w:rPr>
              <w:t>171,70</w:t>
            </w:r>
          </w:p>
        </w:tc>
      </w:tr>
      <w:tr w:rsidR="00862FF6">
        <w:tblPrEx>
          <w:tblCellMar>
            <w:top w:w="0" w:type="dxa"/>
            <w:bottom w:w="0" w:type="dxa"/>
          </w:tblCellMar>
        </w:tblPrEx>
        <w:trPr>
          <w:trHeight w:hRule="exact" w:val="283"/>
        </w:trPr>
        <w:tc>
          <w:tcPr>
            <w:tcW w:w="1229" w:type="dxa"/>
            <w:tcBorders>
              <w:top w:val="single" w:sz="4" w:space="0" w:color="auto"/>
              <w:left w:val="single" w:sz="4" w:space="0" w:color="auto"/>
            </w:tcBorders>
            <w:shd w:val="clear" w:color="auto" w:fill="FFFFFF"/>
            <w:vAlign w:val="bottom"/>
          </w:tcPr>
          <w:p w:rsidR="00862FF6" w:rsidRDefault="00F40C79">
            <w:pPr>
              <w:pStyle w:val="a7"/>
              <w:framePr w:w="9077" w:h="2678" w:wrap="around" w:vAnchor="page" w:hAnchor="page" w:x="1431" w:y="7604"/>
              <w:shd w:val="clear" w:color="auto" w:fill="auto"/>
              <w:spacing w:before="0" w:line="120" w:lineRule="exact"/>
              <w:ind w:left="140"/>
              <w:jc w:val="left"/>
            </w:pPr>
            <w:r>
              <w:rPr>
                <w:rStyle w:val="6pt0pt"/>
              </w:rPr>
              <w:t>01.01.2008 р.</w:t>
            </w:r>
          </w:p>
        </w:tc>
        <w:tc>
          <w:tcPr>
            <w:tcW w:w="1411" w:type="dxa"/>
            <w:tcBorders>
              <w:top w:val="single" w:sz="4" w:space="0" w:color="auto"/>
              <w:left w:val="single" w:sz="4" w:space="0" w:color="auto"/>
            </w:tcBorders>
            <w:shd w:val="clear" w:color="auto" w:fill="FFFFFF"/>
            <w:vAlign w:val="bottom"/>
          </w:tcPr>
          <w:p w:rsidR="00862FF6" w:rsidRDefault="00F40C79">
            <w:pPr>
              <w:pStyle w:val="a7"/>
              <w:framePr w:w="9077" w:h="2678" w:wrap="around" w:vAnchor="page" w:hAnchor="page" w:x="1431" w:y="7604"/>
              <w:shd w:val="clear" w:color="auto" w:fill="auto"/>
              <w:spacing w:before="0" w:line="120" w:lineRule="exact"/>
              <w:jc w:val="center"/>
            </w:pPr>
            <w:r>
              <w:rPr>
                <w:rStyle w:val="6pt0pt"/>
              </w:rPr>
              <w:t>13,20</w:t>
            </w:r>
          </w:p>
        </w:tc>
        <w:tc>
          <w:tcPr>
            <w:tcW w:w="2808" w:type="dxa"/>
            <w:tcBorders>
              <w:top w:val="single" w:sz="4" w:space="0" w:color="auto"/>
              <w:left w:val="single" w:sz="4" w:space="0" w:color="auto"/>
            </w:tcBorders>
            <w:shd w:val="clear" w:color="auto" w:fill="FFFFFF"/>
            <w:vAlign w:val="bottom"/>
          </w:tcPr>
          <w:p w:rsidR="00862FF6" w:rsidRDefault="00F40C79">
            <w:pPr>
              <w:pStyle w:val="a7"/>
              <w:framePr w:w="9077" w:h="2678" w:wrap="around" w:vAnchor="page" w:hAnchor="page" w:x="1431" w:y="7604"/>
              <w:shd w:val="clear" w:color="auto" w:fill="auto"/>
              <w:spacing w:before="0" w:line="120" w:lineRule="exact"/>
              <w:jc w:val="center"/>
            </w:pPr>
            <w:r>
              <w:rPr>
                <w:rStyle w:val="6pt0pt"/>
              </w:rPr>
              <w:t>26,30</w:t>
            </w:r>
          </w:p>
        </w:tc>
        <w:tc>
          <w:tcPr>
            <w:tcW w:w="1992" w:type="dxa"/>
            <w:tcBorders>
              <w:top w:val="single" w:sz="4" w:space="0" w:color="auto"/>
              <w:left w:val="single" w:sz="4" w:space="0" w:color="auto"/>
            </w:tcBorders>
            <w:shd w:val="clear" w:color="auto" w:fill="FFFFFF"/>
            <w:vAlign w:val="bottom"/>
          </w:tcPr>
          <w:p w:rsidR="00862FF6" w:rsidRDefault="00F40C79">
            <w:pPr>
              <w:pStyle w:val="a7"/>
              <w:framePr w:w="9077" w:h="2678" w:wrap="around" w:vAnchor="page" w:hAnchor="page" w:x="1431" w:y="7604"/>
              <w:shd w:val="clear" w:color="auto" w:fill="auto"/>
              <w:spacing w:before="0" w:line="120" w:lineRule="exact"/>
              <w:jc w:val="center"/>
            </w:pPr>
            <w:r>
              <w:rPr>
                <w:rStyle w:val="6pt0pt"/>
              </w:rPr>
              <w:t>13,50</w:t>
            </w:r>
          </w:p>
        </w:tc>
        <w:tc>
          <w:tcPr>
            <w:tcW w:w="1637" w:type="dxa"/>
            <w:tcBorders>
              <w:top w:val="single" w:sz="4" w:space="0" w:color="auto"/>
              <w:left w:val="single" w:sz="4" w:space="0" w:color="auto"/>
              <w:right w:val="single" w:sz="4" w:space="0" w:color="auto"/>
            </w:tcBorders>
            <w:shd w:val="clear" w:color="auto" w:fill="FFFFFF"/>
            <w:vAlign w:val="bottom"/>
          </w:tcPr>
          <w:p w:rsidR="00862FF6" w:rsidRDefault="00F40C79">
            <w:pPr>
              <w:pStyle w:val="a7"/>
              <w:framePr w:w="9077" w:h="2678" w:wrap="around" w:vAnchor="page" w:hAnchor="page" w:x="1431" w:y="7604"/>
              <w:shd w:val="clear" w:color="auto" w:fill="auto"/>
              <w:spacing w:before="0" w:line="120" w:lineRule="exact"/>
              <w:jc w:val="center"/>
            </w:pPr>
            <w:r>
              <w:rPr>
                <w:rStyle w:val="6pt0pt"/>
              </w:rPr>
              <w:t>180,90</w:t>
            </w:r>
          </w:p>
        </w:tc>
      </w:tr>
      <w:tr w:rsidR="00862FF6">
        <w:tblPrEx>
          <w:tblCellMar>
            <w:top w:w="0" w:type="dxa"/>
            <w:bottom w:w="0" w:type="dxa"/>
          </w:tblCellMar>
        </w:tblPrEx>
        <w:trPr>
          <w:trHeight w:hRule="exact" w:val="274"/>
        </w:trPr>
        <w:tc>
          <w:tcPr>
            <w:tcW w:w="1229" w:type="dxa"/>
            <w:tcBorders>
              <w:top w:val="single" w:sz="4" w:space="0" w:color="auto"/>
              <w:left w:val="single" w:sz="4" w:space="0" w:color="auto"/>
            </w:tcBorders>
            <w:shd w:val="clear" w:color="auto" w:fill="FFFFFF"/>
            <w:vAlign w:val="bottom"/>
          </w:tcPr>
          <w:p w:rsidR="00862FF6" w:rsidRDefault="00F40C79">
            <w:pPr>
              <w:pStyle w:val="a7"/>
              <w:framePr w:w="9077" w:h="2678" w:wrap="around" w:vAnchor="page" w:hAnchor="page" w:x="1431" w:y="7604"/>
              <w:shd w:val="clear" w:color="auto" w:fill="auto"/>
              <w:spacing w:before="0" w:line="120" w:lineRule="exact"/>
              <w:ind w:left="140"/>
              <w:jc w:val="left"/>
            </w:pPr>
            <w:r>
              <w:rPr>
                <w:rStyle w:val="6pt0pt"/>
              </w:rPr>
              <w:t>01.01.2009 р.</w:t>
            </w:r>
          </w:p>
        </w:tc>
        <w:tc>
          <w:tcPr>
            <w:tcW w:w="1411" w:type="dxa"/>
            <w:tcBorders>
              <w:top w:val="single" w:sz="4" w:space="0" w:color="auto"/>
              <w:left w:val="single" w:sz="4" w:space="0" w:color="auto"/>
            </w:tcBorders>
            <w:shd w:val="clear" w:color="auto" w:fill="FFFFFF"/>
            <w:vAlign w:val="bottom"/>
          </w:tcPr>
          <w:p w:rsidR="00862FF6" w:rsidRDefault="00F40C79">
            <w:pPr>
              <w:pStyle w:val="a7"/>
              <w:framePr w:w="9077" w:h="2678" w:wrap="around" w:vAnchor="page" w:hAnchor="page" w:x="1431" w:y="7604"/>
              <w:shd w:val="clear" w:color="auto" w:fill="auto"/>
              <w:spacing w:before="0" w:line="120" w:lineRule="exact"/>
              <w:jc w:val="center"/>
            </w:pPr>
            <w:r>
              <w:rPr>
                <w:rStyle w:val="6pt0pt"/>
              </w:rPr>
              <w:t>17,40</w:t>
            </w:r>
          </w:p>
        </w:tc>
        <w:tc>
          <w:tcPr>
            <w:tcW w:w="2808" w:type="dxa"/>
            <w:tcBorders>
              <w:top w:val="single" w:sz="4" w:space="0" w:color="auto"/>
              <w:left w:val="single" w:sz="4" w:space="0" w:color="auto"/>
            </w:tcBorders>
            <w:shd w:val="clear" w:color="auto" w:fill="FFFFFF"/>
            <w:vAlign w:val="bottom"/>
          </w:tcPr>
          <w:p w:rsidR="00862FF6" w:rsidRDefault="00F40C79">
            <w:pPr>
              <w:pStyle w:val="a7"/>
              <w:framePr w:w="9077" w:h="2678" w:wrap="around" w:vAnchor="page" w:hAnchor="page" w:x="1431" w:y="7604"/>
              <w:shd w:val="clear" w:color="auto" w:fill="auto"/>
              <w:spacing w:before="0" w:line="120" w:lineRule="exact"/>
              <w:jc w:val="center"/>
            </w:pPr>
            <w:r>
              <w:rPr>
                <w:rStyle w:val="6pt0pt"/>
              </w:rPr>
              <w:t>29,60</w:t>
            </w:r>
          </w:p>
        </w:tc>
        <w:tc>
          <w:tcPr>
            <w:tcW w:w="1992" w:type="dxa"/>
            <w:tcBorders>
              <w:top w:val="single" w:sz="4" w:space="0" w:color="auto"/>
              <w:left w:val="single" w:sz="4" w:space="0" w:color="auto"/>
            </w:tcBorders>
            <w:shd w:val="clear" w:color="auto" w:fill="FFFFFF"/>
            <w:vAlign w:val="bottom"/>
          </w:tcPr>
          <w:p w:rsidR="00862FF6" w:rsidRDefault="00F40C79">
            <w:pPr>
              <w:pStyle w:val="a7"/>
              <w:framePr w:w="9077" w:h="2678" w:wrap="around" w:vAnchor="page" w:hAnchor="page" w:x="1431" w:y="7604"/>
              <w:shd w:val="clear" w:color="auto" w:fill="auto"/>
              <w:spacing w:before="0" w:line="120" w:lineRule="exact"/>
              <w:jc w:val="center"/>
            </w:pPr>
            <w:r>
              <w:rPr>
                <w:rStyle w:val="6pt0pt"/>
              </w:rPr>
              <w:t>16,00</w:t>
            </w:r>
          </w:p>
        </w:tc>
        <w:tc>
          <w:tcPr>
            <w:tcW w:w="1637" w:type="dxa"/>
            <w:tcBorders>
              <w:top w:val="single" w:sz="4" w:space="0" w:color="auto"/>
              <w:left w:val="single" w:sz="4" w:space="0" w:color="auto"/>
              <w:right w:val="single" w:sz="4" w:space="0" w:color="auto"/>
            </w:tcBorders>
            <w:shd w:val="clear" w:color="auto" w:fill="FFFFFF"/>
            <w:vAlign w:val="bottom"/>
          </w:tcPr>
          <w:p w:rsidR="00862FF6" w:rsidRDefault="00F40C79">
            <w:pPr>
              <w:pStyle w:val="a7"/>
              <w:framePr w:w="9077" w:h="2678" w:wrap="around" w:vAnchor="page" w:hAnchor="page" w:x="1431" w:y="7604"/>
              <w:shd w:val="clear" w:color="auto" w:fill="auto"/>
              <w:spacing w:before="0" w:line="120" w:lineRule="exact"/>
              <w:jc w:val="center"/>
            </w:pPr>
            <w:r>
              <w:rPr>
                <w:rStyle w:val="6pt0pt"/>
              </w:rPr>
              <w:t>163,20</w:t>
            </w:r>
          </w:p>
        </w:tc>
      </w:tr>
      <w:tr w:rsidR="00862FF6">
        <w:tblPrEx>
          <w:tblCellMar>
            <w:top w:w="0" w:type="dxa"/>
            <w:bottom w:w="0" w:type="dxa"/>
          </w:tblCellMar>
        </w:tblPrEx>
        <w:trPr>
          <w:trHeight w:hRule="exact" w:val="283"/>
        </w:trPr>
        <w:tc>
          <w:tcPr>
            <w:tcW w:w="1229" w:type="dxa"/>
            <w:tcBorders>
              <w:top w:val="single" w:sz="4" w:space="0" w:color="auto"/>
              <w:left w:val="single" w:sz="4" w:space="0" w:color="auto"/>
            </w:tcBorders>
            <w:shd w:val="clear" w:color="auto" w:fill="FFFFFF"/>
            <w:vAlign w:val="bottom"/>
          </w:tcPr>
          <w:p w:rsidR="00862FF6" w:rsidRDefault="00F40C79">
            <w:pPr>
              <w:pStyle w:val="a7"/>
              <w:framePr w:w="9077" w:h="2678" w:wrap="around" w:vAnchor="page" w:hAnchor="page" w:x="1431" w:y="7604"/>
              <w:shd w:val="clear" w:color="auto" w:fill="auto"/>
              <w:spacing w:before="0" w:line="120" w:lineRule="exact"/>
              <w:ind w:left="140"/>
              <w:jc w:val="left"/>
            </w:pPr>
            <w:r>
              <w:rPr>
                <w:rStyle w:val="6pt0pt"/>
              </w:rPr>
              <w:t>01.01.2010 р.</w:t>
            </w:r>
          </w:p>
        </w:tc>
        <w:tc>
          <w:tcPr>
            <w:tcW w:w="1411" w:type="dxa"/>
            <w:tcBorders>
              <w:top w:val="single" w:sz="4" w:space="0" w:color="auto"/>
              <w:left w:val="single" w:sz="4" w:space="0" w:color="auto"/>
            </w:tcBorders>
            <w:shd w:val="clear" w:color="auto" w:fill="FFFFFF"/>
            <w:vAlign w:val="bottom"/>
          </w:tcPr>
          <w:p w:rsidR="00862FF6" w:rsidRDefault="00F40C79">
            <w:pPr>
              <w:pStyle w:val="a7"/>
              <w:framePr w:w="9077" w:h="2678" w:wrap="around" w:vAnchor="page" w:hAnchor="page" w:x="1431" w:y="7604"/>
              <w:shd w:val="clear" w:color="auto" w:fill="auto"/>
              <w:spacing w:before="0" w:line="120" w:lineRule="exact"/>
              <w:jc w:val="center"/>
            </w:pPr>
            <w:r>
              <w:rPr>
                <w:rStyle w:val="6pt0pt"/>
              </w:rPr>
              <w:t>33,80</w:t>
            </w:r>
          </w:p>
        </w:tc>
        <w:tc>
          <w:tcPr>
            <w:tcW w:w="2808" w:type="dxa"/>
            <w:tcBorders>
              <w:top w:val="single" w:sz="4" w:space="0" w:color="auto"/>
              <w:left w:val="single" w:sz="4" w:space="0" w:color="auto"/>
            </w:tcBorders>
            <w:shd w:val="clear" w:color="auto" w:fill="FFFFFF"/>
            <w:vAlign w:val="bottom"/>
          </w:tcPr>
          <w:p w:rsidR="00862FF6" w:rsidRDefault="00F40C79">
            <w:pPr>
              <w:pStyle w:val="a7"/>
              <w:framePr w:w="9077" w:h="2678" w:wrap="around" w:vAnchor="page" w:hAnchor="page" w:x="1431" w:y="7604"/>
              <w:shd w:val="clear" w:color="auto" w:fill="auto"/>
              <w:spacing w:before="0" w:line="120" w:lineRule="exact"/>
              <w:jc w:val="center"/>
            </w:pPr>
            <w:r>
              <w:rPr>
                <w:rStyle w:val="6pt0pt"/>
              </w:rPr>
              <w:t>32,30</w:t>
            </w:r>
          </w:p>
        </w:tc>
        <w:tc>
          <w:tcPr>
            <w:tcW w:w="1992" w:type="dxa"/>
            <w:tcBorders>
              <w:top w:val="single" w:sz="4" w:space="0" w:color="auto"/>
              <w:left w:val="single" w:sz="4" w:space="0" w:color="auto"/>
            </w:tcBorders>
            <w:shd w:val="clear" w:color="auto" w:fill="FFFFFF"/>
            <w:vAlign w:val="bottom"/>
          </w:tcPr>
          <w:p w:rsidR="00862FF6" w:rsidRDefault="00F40C79">
            <w:pPr>
              <w:pStyle w:val="a7"/>
              <w:framePr w:w="9077" w:h="2678" w:wrap="around" w:vAnchor="page" w:hAnchor="page" w:x="1431" w:y="7604"/>
              <w:shd w:val="clear" w:color="auto" w:fill="auto"/>
              <w:spacing w:before="0" w:line="120" w:lineRule="exact"/>
              <w:jc w:val="center"/>
            </w:pPr>
            <w:r>
              <w:rPr>
                <w:rStyle w:val="6pt0pt"/>
              </w:rPr>
              <w:t>18,30</w:t>
            </w:r>
          </w:p>
        </w:tc>
        <w:tc>
          <w:tcPr>
            <w:tcW w:w="1637" w:type="dxa"/>
            <w:tcBorders>
              <w:top w:val="single" w:sz="4" w:space="0" w:color="auto"/>
              <w:left w:val="single" w:sz="4" w:space="0" w:color="auto"/>
              <w:right w:val="single" w:sz="4" w:space="0" w:color="auto"/>
            </w:tcBorders>
            <w:shd w:val="clear" w:color="auto" w:fill="FFFFFF"/>
            <w:vAlign w:val="bottom"/>
          </w:tcPr>
          <w:p w:rsidR="00862FF6" w:rsidRDefault="00F40C79">
            <w:pPr>
              <w:pStyle w:val="a7"/>
              <w:framePr w:w="9077" w:h="2678" w:wrap="around" w:vAnchor="page" w:hAnchor="page" w:x="1431" w:y="7604"/>
              <w:shd w:val="clear" w:color="auto" w:fill="auto"/>
              <w:spacing w:before="0" w:line="120" w:lineRule="exact"/>
              <w:jc w:val="center"/>
            </w:pPr>
            <w:r>
              <w:rPr>
                <w:rStyle w:val="6pt0pt"/>
              </w:rPr>
              <w:t>94,30</w:t>
            </w:r>
          </w:p>
        </w:tc>
      </w:tr>
      <w:tr w:rsidR="00862FF6">
        <w:tblPrEx>
          <w:tblCellMar>
            <w:top w:w="0" w:type="dxa"/>
            <w:bottom w:w="0" w:type="dxa"/>
          </w:tblCellMar>
        </w:tblPrEx>
        <w:trPr>
          <w:trHeight w:hRule="exact" w:val="288"/>
        </w:trPr>
        <w:tc>
          <w:tcPr>
            <w:tcW w:w="1229" w:type="dxa"/>
            <w:tcBorders>
              <w:top w:val="single" w:sz="4" w:space="0" w:color="auto"/>
              <w:left w:val="single" w:sz="4" w:space="0" w:color="auto"/>
              <w:bottom w:val="single" w:sz="4" w:space="0" w:color="auto"/>
            </w:tcBorders>
            <w:shd w:val="clear" w:color="auto" w:fill="FFFFFF"/>
            <w:vAlign w:val="bottom"/>
          </w:tcPr>
          <w:p w:rsidR="00862FF6" w:rsidRDefault="00F40C79">
            <w:pPr>
              <w:pStyle w:val="a7"/>
              <w:framePr w:w="9077" w:h="2678" w:wrap="around" w:vAnchor="page" w:hAnchor="page" w:x="1431" w:y="7604"/>
              <w:shd w:val="clear" w:color="auto" w:fill="auto"/>
              <w:spacing w:before="0" w:line="120" w:lineRule="exact"/>
              <w:ind w:left="140"/>
              <w:jc w:val="left"/>
            </w:pPr>
            <w:r>
              <w:rPr>
                <w:rStyle w:val="6pt0pt"/>
              </w:rPr>
              <w:t>01.01.2011 р.</w:t>
            </w:r>
          </w:p>
        </w:tc>
        <w:tc>
          <w:tcPr>
            <w:tcW w:w="1411" w:type="dxa"/>
            <w:tcBorders>
              <w:top w:val="single" w:sz="4" w:space="0" w:color="auto"/>
              <w:left w:val="single" w:sz="4" w:space="0" w:color="auto"/>
              <w:bottom w:val="single" w:sz="4" w:space="0" w:color="auto"/>
            </w:tcBorders>
            <w:shd w:val="clear" w:color="auto" w:fill="FFFFFF"/>
            <w:vAlign w:val="bottom"/>
          </w:tcPr>
          <w:p w:rsidR="00862FF6" w:rsidRDefault="00F40C79">
            <w:pPr>
              <w:pStyle w:val="a7"/>
              <w:framePr w:w="9077" w:h="2678" w:wrap="around" w:vAnchor="page" w:hAnchor="page" w:x="1431" w:y="7604"/>
              <w:shd w:val="clear" w:color="auto" w:fill="auto"/>
              <w:spacing w:before="0" w:line="120" w:lineRule="exact"/>
              <w:jc w:val="center"/>
            </w:pPr>
            <w:r>
              <w:rPr>
                <w:rStyle w:val="6pt0pt"/>
              </w:rPr>
              <w:t>37,40</w:t>
            </w:r>
          </w:p>
        </w:tc>
        <w:tc>
          <w:tcPr>
            <w:tcW w:w="2808" w:type="dxa"/>
            <w:tcBorders>
              <w:top w:val="single" w:sz="4" w:space="0" w:color="auto"/>
              <w:left w:val="single" w:sz="4" w:space="0" w:color="auto"/>
              <w:bottom w:val="single" w:sz="4" w:space="0" w:color="auto"/>
            </w:tcBorders>
            <w:shd w:val="clear" w:color="auto" w:fill="FFFFFF"/>
            <w:vAlign w:val="bottom"/>
          </w:tcPr>
          <w:p w:rsidR="00862FF6" w:rsidRDefault="00F40C79">
            <w:pPr>
              <w:pStyle w:val="a7"/>
              <w:framePr w:w="9077" w:h="2678" w:wrap="around" w:vAnchor="page" w:hAnchor="page" w:x="1431" w:y="7604"/>
              <w:shd w:val="clear" w:color="auto" w:fill="auto"/>
              <w:spacing w:before="0" w:line="120" w:lineRule="exact"/>
              <w:jc w:val="center"/>
            </w:pPr>
            <w:r>
              <w:rPr>
                <w:rStyle w:val="6pt0pt"/>
              </w:rPr>
              <w:t>35,40</w:t>
            </w:r>
          </w:p>
        </w:tc>
        <w:tc>
          <w:tcPr>
            <w:tcW w:w="1992" w:type="dxa"/>
            <w:tcBorders>
              <w:top w:val="single" w:sz="4" w:space="0" w:color="auto"/>
              <w:left w:val="single" w:sz="4" w:space="0" w:color="auto"/>
              <w:bottom w:val="single" w:sz="4" w:space="0" w:color="auto"/>
            </w:tcBorders>
            <w:shd w:val="clear" w:color="auto" w:fill="FFFFFF"/>
            <w:vAlign w:val="bottom"/>
          </w:tcPr>
          <w:p w:rsidR="00862FF6" w:rsidRDefault="00F40C79">
            <w:pPr>
              <w:pStyle w:val="a7"/>
              <w:framePr w:w="9077" w:h="2678" w:wrap="around" w:vAnchor="page" w:hAnchor="page" w:x="1431" w:y="7604"/>
              <w:shd w:val="clear" w:color="auto" w:fill="auto"/>
              <w:spacing w:before="0" w:line="120" w:lineRule="exact"/>
              <w:jc w:val="center"/>
            </w:pPr>
            <w:r>
              <w:rPr>
                <w:rStyle w:val="6pt0pt"/>
              </w:rPr>
              <w:t>14,80</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bottom"/>
          </w:tcPr>
          <w:p w:rsidR="00862FF6" w:rsidRDefault="00F40C79">
            <w:pPr>
              <w:pStyle w:val="a7"/>
              <w:framePr w:w="9077" w:h="2678" w:wrap="around" w:vAnchor="page" w:hAnchor="page" w:x="1431" w:y="7604"/>
              <w:shd w:val="clear" w:color="auto" w:fill="auto"/>
              <w:spacing w:before="0" w:line="120" w:lineRule="exact"/>
              <w:jc w:val="center"/>
            </w:pPr>
            <w:r>
              <w:rPr>
                <w:rStyle w:val="6pt0pt"/>
              </w:rPr>
              <w:t>101,00</w:t>
            </w:r>
          </w:p>
        </w:tc>
      </w:tr>
    </w:tbl>
    <w:p w:rsidR="00862FF6" w:rsidRDefault="00F40C79">
      <w:pPr>
        <w:pStyle w:val="a7"/>
        <w:framePr w:w="9096" w:h="1306" w:hRule="exact" w:wrap="around" w:vAnchor="page" w:hAnchor="page" w:x="1427" w:y="10385"/>
        <w:shd w:val="clear" w:color="auto" w:fill="auto"/>
        <w:spacing w:before="0"/>
        <w:ind w:left="20" w:right="20" w:firstLine="280"/>
      </w:pPr>
      <w:r>
        <w:t xml:space="preserve">За допомогою програмного забезпечення ми провели розрахунок регресійних моделей для трьох залежних змінних. </w:t>
      </w:r>
      <w:r>
        <w:t>Детальніше зупинимося на аналізі одержаних результатів досліджуваної резуль- тативної змінної / - частки недіючих кредитів у загальному обсязі кредитів банківської системи. Результати роботи з моделлю щодо пошуку коефіцієнтів регресії, перевірки їхньої зна</w:t>
      </w:r>
      <w:r>
        <w:t>чущості, а також значущості моделі загаломт відображені в табл. 3.</w:t>
      </w:r>
    </w:p>
    <w:p w:rsidR="00862FF6" w:rsidRDefault="00F40C79">
      <w:pPr>
        <w:pStyle w:val="a9"/>
        <w:framePr w:w="907" w:h="279" w:hRule="exact" w:wrap="around" w:vAnchor="page" w:hAnchor="page" w:x="9601" w:y="11748"/>
        <w:shd w:val="clear" w:color="auto" w:fill="auto"/>
        <w:spacing w:line="250" w:lineRule="exact"/>
      </w:pPr>
      <w:r>
        <w:t>Таблиця 3</w:t>
      </w:r>
    </w:p>
    <w:p w:rsidR="00862FF6" w:rsidRDefault="00F40C79">
      <w:pPr>
        <w:pStyle w:val="50"/>
        <w:framePr w:w="8064" w:h="529" w:hRule="exact" w:wrap="around" w:vAnchor="page" w:hAnchor="page" w:x="2473" w:y="12026"/>
        <w:shd w:val="clear" w:color="auto" w:fill="auto"/>
        <w:spacing w:before="0" w:after="0"/>
      </w:pPr>
      <w:r>
        <w:t>Статистика моделі дослідження частки недіючих кредитів у загальному обсязі кредитних операцій банківської системи України</w:t>
      </w:r>
    </w:p>
    <w:tbl>
      <w:tblPr>
        <w:tblOverlap w:val="never"/>
        <w:tblW w:w="0" w:type="auto"/>
        <w:tblLayout w:type="fixed"/>
        <w:tblCellMar>
          <w:left w:w="10" w:type="dxa"/>
          <w:right w:w="10" w:type="dxa"/>
        </w:tblCellMar>
        <w:tblLook w:val="04A0"/>
      </w:tblPr>
      <w:tblGrid>
        <w:gridCol w:w="1234"/>
        <w:gridCol w:w="1253"/>
        <w:gridCol w:w="1181"/>
        <w:gridCol w:w="1517"/>
        <w:gridCol w:w="1176"/>
        <w:gridCol w:w="1349"/>
        <w:gridCol w:w="1354"/>
      </w:tblGrid>
      <w:tr w:rsidR="00862FF6">
        <w:tblPrEx>
          <w:tblCellMar>
            <w:top w:w="0" w:type="dxa"/>
            <w:bottom w:w="0" w:type="dxa"/>
          </w:tblCellMar>
        </w:tblPrEx>
        <w:trPr>
          <w:trHeight w:hRule="exact" w:val="682"/>
        </w:trPr>
        <w:tc>
          <w:tcPr>
            <w:tcW w:w="1234" w:type="dxa"/>
            <w:tcBorders>
              <w:top w:val="single" w:sz="4" w:space="0" w:color="auto"/>
              <w:left w:val="single" w:sz="4" w:space="0" w:color="auto"/>
            </w:tcBorders>
            <w:shd w:val="clear" w:color="auto" w:fill="FFFFFF"/>
            <w:vAlign w:val="center"/>
          </w:tcPr>
          <w:p w:rsidR="00862FF6" w:rsidRDefault="00F40C79">
            <w:pPr>
              <w:pStyle w:val="a7"/>
              <w:framePr w:w="9062" w:h="2573" w:wrap="around" w:vAnchor="page" w:hAnchor="page" w:x="1441" w:y="12653"/>
              <w:shd w:val="clear" w:color="auto" w:fill="auto"/>
              <w:spacing w:before="0" w:line="150" w:lineRule="exact"/>
              <w:jc w:val="center"/>
            </w:pPr>
            <w:r>
              <w:rPr>
                <w:rStyle w:val="75pt0pt"/>
              </w:rPr>
              <w:t>Коефіцієнти</w:t>
            </w:r>
          </w:p>
        </w:tc>
        <w:tc>
          <w:tcPr>
            <w:tcW w:w="1253" w:type="dxa"/>
            <w:tcBorders>
              <w:top w:val="single" w:sz="4" w:space="0" w:color="auto"/>
              <w:left w:val="single" w:sz="4" w:space="0" w:color="auto"/>
            </w:tcBorders>
            <w:shd w:val="clear" w:color="auto" w:fill="FFFFFF"/>
            <w:vAlign w:val="center"/>
          </w:tcPr>
          <w:p w:rsidR="00862FF6" w:rsidRDefault="00F40C79">
            <w:pPr>
              <w:pStyle w:val="a7"/>
              <w:framePr w:w="9062" w:h="2573" w:wrap="around" w:vAnchor="page" w:hAnchor="page" w:x="1441" w:y="12653"/>
              <w:shd w:val="clear" w:color="auto" w:fill="auto"/>
              <w:spacing w:before="0" w:line="150" w:lineRule="exact"/>
              <w:jc w:val="center"/>
            </w:pPr>
            <w:r>
              <w:rPr>
                <w:rStyle w:val="75pt0pt"/>
              </w:rPr>
              <w:t>Значення</w:t>
            </w:r>
          </w:p>
          <w:p w:rsidR="00862FF6" w:rsidRDefault="00F40C79">
            <w:pPr>
              <w:pStyle w:val="a7"/>
              <w:framePr w:w="9062" w:h="2573" w:wrap="around" w:vAnchor="page" w:hAnchor="page" w:x="1441" w:y="12653"/>
              <w:shd w:val="clear" w:color="auto" w:fill="auto"/>
              <w:spacing w:before="0" w:line="150" w:lineRule="exact"/>
              <w:jc w:val="center"/>
            </w:pPr>
            <w:r>
              <w:rPr>
                <w:rStyle w:val="75pt0pt"/>
              </w:rPr>
              <w:t>коефіцієнтів</w:t>
            </w:r>
          </w:p>
        </w:tc>
        <w:tc>
          <w:tcPr>
            <w:tcW w:w="1181" w:type="dxa"/>
            <w:tcBorders>
              <w:top w:val="single" w:sz="4" w:space="0" w:color="auto"/>
              <w:left w:val="single" w:sz="4" w:space="0" w:color="auto"/>
            </w:tcBorders>
            <w:shd w:val="clear" w:color="auto" w:fill="FFFFFF"/>
            <w:vAlign w:val="center"/>
          </w:tcPr>
          <w:p w:rsidR="00862FF6" w:rsidRDefault="00F40C79">
            <w:pPr>
              <w:pStyle w:val="a7"/>
              <w:framePr w:w="9062" w:h="2573" w:wrap="around" w:vAnchor="page" w:hAnchor="page" w:x="1441" w:y="12653"/>
              <w:shd w:val="clear" w:color="auto" w:fill="auto"/>
              <w:spacing w:before="0" w:line="150" w:lineRule="exact"/>
              <w:jc w:val="center"/>
            </w:pPr>
            <w:r>
              <w:rPr>
                <w:rStyle w:val="75pt0pt"/>
              </w:rPr>
              <w:t>Стандартна</w:t>
            </w:r>
          </w:p>
          <w:p w:rsidR="00862FF6" w:rsidRDefault="00F40C79">
            <w:pPr>
              <w:pStyle w:val="a7"/>
              <w:framePr w:w="9062" w:h="2573" w:wrap="around" w:vAnchor="page" w:hAnchor="page" w:x="1441" w:y="12653"/>
              <w:shd w:val="clear" w:color="auto" w:fill="auto"/>
              <w:spacing w:before="0" w:line="150" w:lineRule="exact"/>
              <w:jc w:val="center"/>
            </w:pPr>
            <w:r>
              <w:rPr>
                <w:rStyle w:val="75pt0pt"/>
              </w:rPr>
              <w:t>похибка</w:t>
            </w:r>
          </w:p>
        </w:tc>
        <w:tc>
          <w:tcPr>
            <w:tcW w:w="1517" w:type="dxa"/>
            <w:tcBorders>
              <w:top w:val="single" w:sz="4" w:space="0" w:color="auto"/>
              <w:left w:val="single" w:sz="4" w:space="0" w:color="auto"/>
            </w:tcBorders>
            <w:shd w:val="clear" w:color="auto" w:fill="FFFFFF"/>
            <w:vAlign w:val="center"/>
          </w:tcPr>
          <w:p w:rsidR="00862FF6" w:rsidRDefault="00F40C79">
            <w:pPr>
              <w:pStyle w:val="a7"/>
              <w:framePr w:w="9062" w:h="2573" w:wrap="around" w:vAnchor="page" w:hAnchor="page" w:x="1441" w:y="12653"/>
              <w:shd w:val="clear" w:color="auto" w:fill="auto"/>
              <w:spacing w:before="0" w:line="150" w:lineRule="exact"/>
              <w:jc w:val="center"/>
            </w:pPr>
            <w:r>
              <w:rPr>
                <w:rStyle w:val="75pt0pt"/>
                <w:lang w:val="en-US" w:eastAsia="en-US" w:bidi="en-US"/>
              </w:rPr>
              <w:t>t</w:t>
            </w:r>
            <w:r>
              <w:rPr>
                <w:rStyle w:val="75pt0pt"/>
              </w:rPr>
              <w:t>-стататистика</w:t>
            </w:r>
          </w:p>
        </w:tc>
        <w:tc>
          <w:tcPr>
            <w:tcW w:w="1176" w:type="dxa"/>
            <w:tcBorders>
              <w:top w:val="single" w:sz="4" w:space="0" w:color="auto"/>
              <w:left w:val="single" w:sz="4" w:space="0" w:color="auto"/>
            </w:tcBorders>
            <w:shd w:val="clear" w:color="auto" w:fill="FFFFFF"/>
            <w:vAlign w:val="center"/>
          </w:tcPr>
          <w:p w:rsidR="00862FF6" w:rsidRDefault="00F40C79">
            <w:pPr>
              <w:pStyle w:val="a7"/>
              <w:framePr w:w="9062" w:h="2573" w:wrap="around" w:vAnchor="page" w:hAnchor="page" w:x="1441" w:y="12653"/>
              <w:shd w:val="clear" w:color="auto" w:fill="auto"/>
              <w:spacing w:before="0" w:line="197" w:lineRule="exact"/>
            </w:pPr>
            <w:r>
              <w:rPr>
                <w:rStyle w:val="75pt0pt"/>
              </w:rPr>
              <w:t xml:space="preserve">Критерій Фішера, </w:t>
            </w:r>
            <w:r>
              <w:rPr>
                <w:rStyle w:val="75pt0pt"/>
                <w:lang w:val="en-US" w:eastAsia="en-US" w:bidi="en-US"/>
              </w:rPr>
              <w:t>F</w:t>
            </w:r>
          </w:p>
        </w:tc>
        <w:tc>
          <w:tcPr>
            <w:tcW w:w="1349" w:type="dxa"/>
            <w:tcBorders>
              <w:top w:val="single" w:sz="4" w:space="0" w:color="auto"/>
              <w:left w:val="single" w:sz="4" w:space="0" w:color="auto"/>
            </w:tcBorders>
            <w:shd w:val="clear" w:color="auto" w:fill="FFFFFF"/>
            <w:vAlign w:val="center"/>
          </w:tcPr>
          <w:p w:rsidR="00862FF6" w:rsidRDefault="00F40C79">
            <w:pPr>
              <w:pStyle w:val="a7"/>
              <w:framePr w:w="9062" w:h="2573" w:wrap="around" w:vAnchor="page" w:hAnchor="page" w:x="1441" w:y="12653"/>
              <w:shd w:val="clear" w:color="auto" w:fill="auto"/>
              <w:spacing w:before="0" w:line="192" w:lineRule="exact"/>
            </w:pPr>
            <w:r>
              <w:rPr>
                <w:rStyle w:val="75pt0pt"/>
              </w:rPr>
              <w:t xml:space="preserve">Коефіцієнт множинної кореляції, </w:t>
            </w:r>
            <w:r>
              <w:rPr>
                <w:rStyle w:val="75pt0pt"/>
                <w:lang w:val="en-US" w:eastAsia="en-US" w:bidi="en-US"/>
              </w:rPr>
              <w:t>R</w:t>
            </w:r>
          </w:p>
        </w:tc>
        <w:tc>
          <w:tcPr>
            <w:tcW w:w="1354" w:type="dxa"/>
            <w:tcBorders>
              <w:top w:val="single" w:sz="4" w:space="0" w:color="auto"/>
              <w:left w:val="single" w:sz="4" w:space="0" w:color="auto"/>
              <w:right w:val="single" w:sz="4" w:space="0" w:color="auto"/>
            </w:tcBorders>
            <w:shd w:val="clear" w:color="auto" w:fill="FFFFFF"/>
            <w:vAlign w:val="center"/>
          </w:tcPr>
          <w:p w:rsidR="00862FF6" w:rsidRDefault="00F40C79">
            <w:pPr>
              <w:pStyle w:val="a7"/>
              <w:framePr w:w="9062" w:h="2573" w:wrap="around" w:vAnchor="page" w:hAnchor="page" w:x="1441" w:y="12653"/>
              <w:shd w:val="clear" w:color="auto" w:fill="auto"/>
              <w:spacing w:before="0" w:line="192" w:lineRule="exact"/>
              <w:jc w:val="center"/>
            </w:pPr>
            <w:r>
              <w:rPr>
                <w:rStyle w:val="75pt0pt"/>
              </w:rPr>
              <w:t>Коефіцієнт</w:t>
            </w:r>
          </w:p>
          <w:p w:rsidR="00862FF6" w:rsidRDefault="00F40C79">
            <w:pPr>
              <w:pStyle w:val="a7"/>
              <w:framePr w:w="9062" w:h="2573" w:wrap="around" w:vAnchor="page" w:hAnchor="page" w:x="1441" w:y="12653"/>
              <w:shd w:val="clear" w:color="auto" w:fill="auto"/>
              <w:spacing w:before="0" w:line="192" w:lineRule="exact"/>
              <w:jc w:val="center"/>
            </w:pPr>
            <w:r>
              <w:rPr>
                <w:rStyle w:val="75pt0pt"/>
              </w:rPr>
              <w:t>детермінації,</w:t>
            </w:r>
          </w:p>
          <w:p w:rsidR="00862FF6" w:rsidRDefault="00F40C79">
            <w:pPr>
              <w:pStyle w:val="a7"/>
              <w:framePr w:w="9062" w:h="2573" w:wrap="around" w:vAnchor="page" w:hAnchor="page" w:x="1441" w:y="12653"/>
              <w:shd w:val="clear" w:color="auto" w:fill="auto"/>
              <w:spacing w:before="0" w:line="192" w:lineRule="exact"/>
              <w:jc w:val="center"/>
            </w:pPr>
            <w:r>
              <w:rPr>
                <w:rStyle w:val="75pt0pt"/>
                <w:lang w:val="en-US" w:eastAsia="en-US" w:bidi="en-US"/>
              </w:rPr>
              <w:t>R</w:t>
            </w:r>
            <w:r>
              <w:rPr>
                <w:rStyle w:val="75pt0pt"/>
                <w:vertAlign w:val="superscript"/>
                <w:lang w:val="en-US" w:eastAsia="en-US" w:bidi="en-US"/>
              </w:rPr>
              <w:t>2</w:t>
            </w:r>
          </w:p>
        </w:tc>
      </w:tr>
      <w:tr w:rsidR="00862FF6">
        <w:tblPrEx>
          <w:tblCellMar>
            <w:top w:w="0" w:type="dxa"/>
            <w:bottom w:w="0" w:type="dxa"/>
          </w:tblCellMar>
        </w:tblPrEx>
        <w:trPr>
          <w:trHeight w:hRule="exact" w:val="384"/>
        </w:trPr>
        <w:tc>
          <w:tcPr>
            <w:tcW w:w="1234" w:type="dxa"/>
            <w:tcBorders>
              <w:top w:val="single" w:sz="4" w:space="0" w:color="auto"/>
              <w:left w:val="single" w:sz="4" w:space="0" w:color="auto"/>
            </w:tcBorders>
            <w:shd w:val="clear" w:color="auto" w:fill="FFFFFF"/>
            <w:vAlign w:val="bottom"/>
          </w:tcPr>
          <w:p w:rsidR="00862FF6" w:rsidRDefault="00F40C79">
            <w:pPr>
              <w:pStyle w:val="a7"/>
              <w:framePr w:w="9062" w:h="2573" w:wrap="around" w:vAnchor="page" w:hAnchor="page" w:x="1441" w:y="12653"/>
              <w:shd w:val="clear" w:color="auto" w:fill="auto"/>
              <w:spacing w:before="0" w:line="100" w:lineRule="exact"/>
              <w:jc w:val="center"/>
            </w:pPr>
            <w:r>
              <w:rPr>
                <w:rStyle w:val="5pt0pt"/>
                <w:vertAlign w:val="superscript"/>
              </w:rPr>
              <w:t>Ь</w:t>
            </w:r>
            <w:r>
              <w:rPr>
                <w:rStyle w:val="5pt0pt"/>
              </w:rPr>
              <w:t>0</w:t>
            </w:r>
          </w:p>
        </w:tc>
        <w:tc>
          <w:tcPr>
            <w:tcW w:w="1253" w:type="dxa"/>
            <w:tcBorders>
              <w:top w:val="single" w:sz="4" w:space="0" w:color="auto"/>
              <w:left w:val="single" w:sz="4" w:space="0" w:color="auto"/>
            </w:tcBorders>
            <w:shd w:val="clear" w:color="auto" w:fill="FFFFFF"/>
            <w:vAlign w:val="center"/>
          </w:tcPr>
          <w:p w:rsidR="00862FF6" w:rsidRDefault="00F40C79">
            <w:pPr>
              <w:pStyle w:val="a7"/>
              <w:framePr w:w="9062" w:h="2573" w:wrap="around" w:vAnchor="page" w:hAnchor="page" w:x="1441" w:y="12653"/>
              <w:shd w:val="clear" w:color="auto" w:fill="auto"/>
              <w:spacing w:before="0" w:line="120" w:lineRule="exact"/>
              <w:jc w:val="center"/>
            </w:pPr>
            <w:r>
              <w:rPr>
                <w:rStyle w:val="6pt0pt"/>
                <w:lang w:val="en-US" w:eastAsia="en-US" w:bidi="en-US"/>
              </w:rPr>
              <w:t>89,57614</w:t>
            </w:r>
          </w:p>
        </w:tc>
        <w:tc>
          <w:tcPr>
            <w:tcW w:w="1181" w:type="dxa"/>
            <w:tcBorders>
              <w:top w:val="single" w:sz="4" w:space="0" w:color="auto"/>
              <w:left w:val="single" w:sz="4" w:space="0" w:color="auto"/>
            </w:tcBorders>
            <w:shd w:val="clear" w:color="auto" w:fill="FFFFFF"/>
            <w:vAlign w:val="center"/>
          </w:tcPr>
          <w:p w:rsidR="00862FF6" w:rsidRDefault="00F40C79">
            <w:pPr>
              <w:pStyle w:val="a7"/>
              <w:framePr w:w="9062" w:h="2573" w:wrap="around" w:vAnchor="page" w:hAnchor="page" w:x="1441" w:y="12653"/>
              <w:shd w:val="clear" w:color="auto" w:fill="auto"/>
              <w:spacing w:before="0" w:line="120" w:lineRule="exact"/>
              <w:jc w:val="center"/>
            </w:pPr>
            <w:r>
              <w:rPr>
                <w:rStyle w:val="6pt0pt"/>
              </w:rPr>
              <w:t>29,87532</w:t>
            </w:r>
          </w:p>
        </w:tc>
        <w:tc>
          <w:tcPr>
            <w:tcW w:w="1517" w:type="dxa"/>
            <w:tcBorders>
              <w:top w:val="single" w:sz="4" w:space="0" w:color="auto"/>
              <w:left w:val="single" w:sz="4" w:space="0" w:color="auto"/>
            </w:tcBorders>
            <w:shd w:val="clear" w:color="auto" w:fill="FFFFFF"/>
            <w:vAlign w:val="center"/>
          </w:tcPr>
          <w:p w:rsidR="00862FF6" w:rsidRDefault="00F40C79">
            <w:pPr>
              <w:pStyle w:val="a7"/>
              <w:framePr w:w="9062" w:h="2573" w:wrap="around" w:vAnchor="page" w:hAnchor="page" w:x="1441" w:y="12653"/>
              <w:shd w:val="clear" w:color="auto" w:fill="auto"/>
              <w:spacing w:before="0" w:line="120" w:lineRule="exact"/>
              <w:jc w:val="center"/>
            </w:pPr>
            <w:r>
              <w:rPr>
                <w:rStyle w:val="6pt0pt"/>
              </w:rPr>
              <w:t>2,998333</w:t>
            </w:r>
          </w:p>
        </w:tc>
        <w:tc>
          <w:tcPr>
            <w:tcW w:w="1176" w:type="dxa"/>
            <w:vMerge w:val="restart"/>
            <w:tcBorders>
              <w:top w:val="single" w:sz="4" w:space="0" w:color="auto"/>
              <w:left w:val="single" w:sz="4" w:space="0" w:color="auto"/>
            </w:tcBorders>
            <w:shd w:val="clear" w:color="auto" w:fill="FFFFFF"/>
            <w:vAlign w:val="center"/>
          </w:tcPr>
          <w:p w:rsidR="00862FF6" w:rsidRDefault="00F40C79">
            <w:pPr>
              <w:pStyle w:val="a7"/>
              <w:framePr w:w="9062" w:h="2573" w:wrap="around" w:vAnchor="page" w:hAnchor="page" w:x="1441" w:y="12653"/>
              <w:shd w:val="clear" w:color="auto" w:fill="auto"/>
              <w:spacing w:before="0" w:line="120" w:lineRule="exact"/>
            </w:pPr>
            <w:r>
              <w:rPr>
                <w:rStyle w:val="6pt0pt"/>
              </w:rPr>
              <w:t>27,72627</w:t>
            </w:r>
          </w:p>
        </w:tc>
        <w:tc>
          <w:tcPr>
            <w:tcW w:w="1349" w:type="dxa"/>
            <w:vMerge w:val="restart"/>
            <w:tcBorders>
              <w:top w:val="single" w:sz="4" w:space="0" w:color="auto"/>
              <w:left w:val="single" w:sz="4" w:space="0" w:color="auto"/>
            </w:tcBorders>
            <w:shd w:val="clear" w:color="auto" w:fill="FFFFFF"/>
            <w:vAlign w:val="center"/>
          </w:tcPr>
          <w:p w:rsidR="00862FF6" w:rsidRDefault="00F40C79">
            <w:pPr>
              <w:pStyle w:val="a7"/>
              <w:framePr w:w="9062" w:h="2573" w:wrap="around" w:vAnchor="page" w:hAnchor="page" w:x="1441" w:y="12653"/>
              <w:shd w:val="clear" w:color="auto" w:fill="auto"/>
              <w:spacing w:before="0" w:line="120" w:lineRule="exact"/>
              <w:jc w:val="center"/>
            </w:pPr>
            <w:r>
              <w:rPr>
                <w:rStyle w:val="6pt0pt"/>
              </w:rPr>
              <w:t>0,995522</w:t>
            </w:r>
          </w:p>
        </w:tc>
        <w:tc>
          <w:tcPr>
            <w:tcW w:w="1354" w:type="dxa"/>
            <w:vMerge w:val="restart"/>
            <w:tcBorders>
              <w:top w:val="single" w:sz="4" w:space="0" w:color="auto"/>
              <w:left w:val="single" w:sz="4" w:space="0" w:color="auto"/>
              <w:right w:val="single" w:sz="4" w:space="0" w:color="auto"/>
            </w:tcBorders>
            <w:shd w:val="clear" w:color="auto" w:fill="FFFFFF"/>
            <w:vAlign w:val="center"/>
          </w:tcPr>
          <w:p w:rsidR="00862FF6" w:rsidRDefault="00F40C79">
            <w:pPr>
              <w:pStyle w:val="a7"/>
              <w:framePr w:w="9062" w:h="2573" w:wrap="around" w:vAnchor="page" w:hAnchor="page" w:x="1441" w:y="12653"/>
              <w:shd w:val="clear" w:color="auto" w:fill="auto"/>
              <w:spacing w:before="0" w:line="120" w:lineRule="exact"/>
              <w:jc w:val="center"/>
            </w:pPr>
            <w:r>
              <w:rPr>
                <w:rStyle w:val="6pt0pt"/>
              </w:rPr>
              <w:t>0,991064</w:t>
            </w:r>
          </w:p>
        </w:tc>
      </w:tr>
      <w:tr w:rsidR="00862FF6">
        <w:tblPrEx>
          <w:tblCellMar>
            <w:top w:w="0" w:type="dxa"/>
            <w:bottom w:w="0" w:type="dxa"/>
          </w:tblCellMar>
        </w:tblPrEx>
        <w:trPr>
          <w:trHeight w:hRule="exact" w:val="365"/>
        </w:trPr>
        <w:tc>
          <w:tcPr>
            <w:tcW w:w="1234" w:type="dxa"/>
            <w:tcBorders>
              <w:top w:val="single" w:sz="4" w:space="0" w:color="auto"/>
              <w:left w:val="single" w:sz="4" w:space="0" w:color="auto"/>
            </w:tcBorders>
            <w:shd w:val="clear" w:color="auto" w:fill="FFFFFF"/>
            <w:vAlign w:val="bottom"/>
          </w:tcPr>
          <w:p w:rsidR="00862FF6" w:rsidRDefault="00F40C79">
            <w:pPr>
              <w:pStyle w:val="a7"/>
              <w:framePr w:w="9062" w:h="2573" w:wrap="around" w:vAnchor="page" w:hAnchor="page" w:x="1441" w:y="12653"/>
              <w:shd w:val="clear" w:color="auto" w:fill="auto"/>
              <w:spacing w:before="0" w:line="100" w:lineRule="exact"/>
              <w:jc w:val="center"/>
            </w:pPr>
            <w:r>
              <w:rPr>
                <w:rStyle w:val="5pt0pt"/>
                <w:vertAlign w:val="superscript"/>
                <w:lang w:val="en-US" w:eastAsia="en-US" w:bidi="en-US"/>
              </w:rPr>
              <w:t>b</w:t>
            </w:r>
            <w:r>
              <w:rPr>
                <w:rStyle w:val="5pt0pt"/>
                <w:lang w:val="en-US" w:eastAsia="en-US" w:bidi="en-US"/>
              </w:rPr>
              <w:t>1</w:t>
            </w:r>
          </w:p>
        </w:tc>
        <w:tc>
          <w:tcPr>
            <w:tcW w:w="1253" w:type="dxa"/>
            <w:tcBorders>
              <w:top w:val="single" w:sz="4" w:space="0" w:color="auto"/>
              <w:left w:val="single" w:sz="4" w:space="0" w:color="auto"/>
            </w:tcBorders>
            <w:shd w:val="clear" w:color="auto" w:fill="FFFFFF"/>
            <w:vAlign w:val="center"/>
          </w:tcPr>
          <w:p w:rsidR="00862FF6" w:rsidRDefault="00F40C79">
            <w:pPr>
              <w:pStyle w:val="a7"/>
              <w:framePr w:w="9062" w:h="2573" w:wrap="around" w:vAnchor="page" w:hAnchor="page" w:x="1441" w:y="12653"/>
              <w:shd w:val="clear" w:color="auto" w:fill="auto"/>
              <w:spacing w:before="0" w:line="120" w:lineRule="exact"/>
              <w:jc w:val="center"/>
            </w:pPr>
            <w:r>
              <w:rPr>
                <w:rStyle w:val="6pt0pt"/>
                <w:lang w:val="en-US" w:eastAsia="en-US" w:bidi="en-US"/>
              </w:rPr>
              <w:t>-0,00886</w:t>
            </w:r>
          </w:p>
        </w:tc>
        <w:tc>
          <w:tcPr>
            <w:tcW w:w="1181" w:type="dxa"/>
            <w:tcBorders>
              <w:top w:val="single" w:sz="4" w:space="0" w:color="auto"/>
              <w:left w:val="single" w:sz="4" w:space="0" w:color="auto"/>
            </w:tcBorders>
            <w:shd w:val="clear" w:color="auto" w:fill="FFFFFF"/>
            <w:vAlign w:val="center"/>
          </w:tcPr>
          <w:p w:rsidR="00862FF6" w:rsidRDefault="00F40C79">
            <w:pPr>
              <w:pStyle w:val="a7"/>
              <w:framePr w:w="9062" w:h="2573" w:wrap="around" w:vAnchor="page" w:hAnchor="page" w:x="1441" w:y="12653"/>
              <w:shd w:val="clear" w:color="auto" w:fill="auto"/>
              <w:spacing w:before="0" w:line="120" w:lineRule="exact"/>
              <w:jc w:val="center"/>
            </w:pPr>
            <w:r>
              <w:rPr>
                <w:rStyle w:val="6pt0pt"/>
              </w:rPr>
              <w:t>0,780404</w:t>
            </w:r>
          </w:p>
        </w:tc>
        <w:tc>
          <w:tcPr>
            <w:tcW w:w="1517" w:type="dxa"/>
            <w:tcBorders>
              <w:top w:val="single" w:sz="4" w:space="0" w:color="auto"/>
              <w:left w:val="single" w:sz="4" w:space="0" w:color="auto"/>
            </w:tcBorders>
            <w:shd w:val="clear" w:color="auto" w:fill="FFFFFF"/>
            <w:vAlign w:val="center"/>
          </w:tcPr>
          <w:p w:rsidR="00862FF6" w:rsidRDefault="00F40C79">
            <w:pPr>
              <w:pStyle w:val="a7"/>
              <w:framePr w:w="9062" w:h="2573" w:wrap="around" w:vAnchor="page" w:hAnchor="page" w:x="1441" w:y="12653"/>
              <w:shd w:val="clear" w:color="auto" w:fill="auto"/>
              <w:spacing w:before="0" w:line="120" w:lineRule="exact"/>
              <w:jc w:val="center"/>
            </w:pPr>
            <w:r>
              <w:rPr>
                <w:rStyle w:val="6pt0pt"/>
              </w:rPr>
              <w:t>-0,01136</w:t>
            </w:r>
          </w:p>
        </w:tc>
        <w:tc>
          <w:tcPr>
            <w:tcW w:w="1176" w:type="dxa"/>
            <w:vMerge/>
            <w:tcBorders>
              <w:left w:val="single" w:sz="4" w:space="0" w:color="auto"/>
            </w:tcBorders>
            <w:shd w:val="clear" w:color="auto" w:fill="FFFFFF"/>
            <w:vAlign w:val="center"/>
          </w:tcPr>
          <w:p w:rsidR="00862FF6" w:rsidRDefault="00862FF6">
            <w:pPr>
              <w:framePr w:w="9062" w:h="2573" w:wrap="around" w:vAnchor="page" w:hAnchor="page" w:x="1441" w:y="12653"/>
            </w:pPr>
          </w:p>
        </w:tc>
        <w:tc>
          <w:tcPr>
            <w:tcW w:w="1349" w:type="dxa"/>
            <w:vMerge/>
            <w:tcBorders>
              <w:left w:val="single" w:sz="4" w:space="0" w:color="auto"/>
            </w:tcBorders>
            <w:shd w:val="clear" w:color="auto" w:fill="FFFFFF"/>
            <w:vAlign w:val="center"/>
          </w:tcPr>
          <w:p w:rsidR="00862FF6" w:rsidRDefault="00862FF6">
            <w:pPr>
              <w:framePr w:w="9062" w:h="2573" w:wrap="around" w:vAnchor="page" w:hAnchor="page" w:x="1441" w:y="12653"/>
            </w:pPr>
          </w:p>
        </w:tc>
        <w:tc>
          <w:tcPr>
            <w:tcW w:w="1354" w:type="dxa"/>
            <w:vMerge/>
            <w:tcBorders>
              <w:left w:val="single" w:sz="4" w:space="0" w:color="auto"/>
              <w:right w:val="single" w:sz="4" w:space="0" w:color="auto"/>
            </w:tcBorders>
            <w:shd w:val="clear" w:color="auto" w:fill="FFFFFF"/>
            <w:vAlign w:val="center"/>
          </w:tcPr>
          <w:p w:rsidR="00862FF6" w:rsidRDefault="00862FF6">
            <w:pPr>
              <w:framePr w:w="9062" w:h="2573" w:wrap="around" w:vAnchor="page" w:hAnchor="page" w:x="1441" w:y="12653"/>
            </w:pPr>
          </w:p>
        </w:tc>
      </w:tr>
      <w:tr w:rsidR="00862FF6">
        <w:tblPrEx>
          <w:tblCellMar>
            <w:top w:w="0" w:type="dxa"/>
            <w:bottom w:w="0" w:type="dxa"/>
          </w:tblCellMar>
        </w:tblPrEx>
        <w:trPr>
          <w:trHeight w:hRule="exact" w:val="379"/>
        </w:trPr>
        <w:tc>
          <w:tcPr>
            <w:tcW w:w="1234" w:type="dxa"/>
            <w:tcBorders>
              <w:top w:val="single" w:sz="4" w:space="0" w:color="auto"/>
              <w:left w:val="single" w:sz="4" w:space="0" w:color="auto"/>
            </w:tcBorders>
            <w:shd w:val="clear" w:color="auto" w:fill="FFFFFF"/>
            <w:vAlign w:val="bottom"/>
          </w:tcPr>
          <w:p w:rsidR="00862FF6" w:rsidRDefault="00F40C79">
            <w:pPr>
              <w:pStyle w:val="a7"/>
              <w:framePr w:w="9062" w:h="2573" w:wrap="around" w:vAnchor="page" w:hAnchor="page" w:x="1441" w:y="12653"/>
              <w:shd w:val="clear" w:color="auto" w:fill="auto"/>
              <w:spacing w:before="0" w:line="100" w:lineRule="exact"/>
              <w:jc w:val="center"/>
            </w:pPr>
            <w:r>
              <w:rPr>
                <w:rStyle w:val="ArialUnicodeMS5pt0pt"/>
                <w:vertAlign w:val="superscript"/>
              </w:rPr>
              <w:t>b</w:t>
            </w:r>
            <w:r>
              <w:rPr>
                <w:rStyle w:val="ArialUnicodeMS5pt0pt"/>
              </w:rPr>
              <w:t>2</w:t>
            </w:r>
          </w:p>
        </w:tc>
        <w:tc>
          <w:tcPr>
            <w:tcW w:w="1253" w:type="dxa"/>
            <w:tcBorders>
              <w:top w:val="single" w:sz="4" w:space="0" w:color="auto"/>
              <w:left w:val="single" w:sz="4" w:space="0" w:color="auto"/>
            </w:tcBorders>
            <w:shd w:val="clear" w:color="auto" w:fill="FFFFFF"/>
            <w:vAlign w:val="center"/>
          </w:tcPr>
          <w:p w:rsidR="00862FF6" w:rsidRDefault="00F40C79">
            <w:pPr>
              <w:pStyle w:val="a7"/>
              <w:framePr w:w="9062" w:h="2573" w:wrap="around" w:vAnchor="page" w:hAnchor="page" w:x="1441" w:y="12653"/>
              <w:shd w:val="clear" w:color="auto" w:fill="auto"/>
              <w:spacing w:before="0" w:line="120" w:lineRule="exact"/>
              <w:jc w:val="center"/>
            </w:pPr>
            <w:r>
              <w:rPr>
                <w:rStyle w:val="6pt0pt"/>
                <w:lang w:val="en-US" w:eastAsia="en-US" w:bidi="en-US"/>
              </w:rPr>
              <w:t>-1,35922</w:t>
            </w:r>
          </w:p>
        </w:tc>
        <w:tc>
          <w:tcPr>
            <w:tcW w:w="1181" w:type="dxa"/>
            <w:tcBorders>
              <w:top w:val="single" w:sz="4" w:space="0" w:color="auto"/>
              <w:left w:val="single" w:sz="4" w:space="0" w:color="auto"/>
            </w:tcBorders>
            <w:shd w:val="clear" w:color="auto" w:fill="FFFFFF"/>
            <w:vAlign w:val="center"/>
          </w:tcPr>
          <w:p w:rsidR="00862FF6" w:rsidRDefault="00F40C79">
            <w:pPr>
              <w:pStyle w:val="a7"/>
              <w:framePr w:w="9062" w:h="2573" w:wrap="around" w:vAnchor="page" w:hAnchor="page" w:x="1441" w:y="12653"/>
              <w:shd w:val="clear" w:color="auto" w:fill="auto"/>
              <w:spacing w:before="0" w:line="120" w:lineRule="exact"/>
              <w:jc w:val="center"/>
            </w:pPr>
            <w:r>
              <w:rPr>
                <w:rStyle w:val="6pt0pt"/>
              </w:rPr>
              <w:t>0,764154</w:t>
            </w:r>
          </w:p>
        </w:tc>
        <w:tc>
          <w:tcPr>
            <w:tcW w:w="1517" w:type="dxa"/>
            <w:tcBorders>
              <w:top w:val="single" w:sz="4" w:space="0" w:color="auto"/>
              <w:left w:val="single" w:sz="4" w:space="0" w:color="auto"/>
            </w:tcBorders>
            <w:shd w:val="clear" w:color="auto" w:fill="FFFFFF"/>
            <w:vAlign w:val="center"/>
          </w:tcPr>
          <w:p w:rsidR="00862FF6" w:rsidRDefault="00F40C79">
            <w:pPr>
              <w:pStyle w:val="a7"/>
              <w:framePr w:w="9062" w:h="2573" w:wrap="around" w:vAnchor="page" w:hAnchor="page" w:x="1441" w:y="12653"/>
              <w:shd w:val="clear" w:color="auto" w:fill="auto"/>
              <w:spacing w:before="0" w:line="120" w:lineRule="exact"/>
              <w:jc w:val="center"/>
            </w:pPr>
            <w:r>
              <w:rPr>
                <w:rStyle w:val="6pt0pt"/>
              </w:rPr>
              <w:t>-1,77873</w:t>
            </w:r>
          </w:p>
        </w:tc>
        <w:tc>
          <w:tcPr>
            <w:tcW w:w="1176" w:type="dxa"/>
            <w:vMerge/>
            <w:tcBorders>
              <w:left w:val="single" w:sz="4" w:space="0" w:color="auto"/>
            </w:tcBorders>
            <w:shd w:val="clear" w:color="auto" w:fill="FFFFFF"/>
            <w:vAlign w:val="center"/>
          </w:tcPr>
          <w:p w:rsidR="00862FF6" w:rsidRDefault="00862FF6">
            <w:pPr>
              <w:framePr w:w="9062" w:h="2573" w:wrap="around" w:vAnchor="page" w:hAnchor="page" w:x="1441" w:y="12653"/>
            </w:pPr>
          </w:p>
        </w:tc>
        <w:tc>
          <w:tcPr>
            <w:tcW w:w="1349" w:type="dxa"/>
            <w:vMerge/>
            <w:tcBorders>
              <w:left w:val="single" w:sz="4" w:space="0" w:color="auto"/>
            </w:tcBorders>
            <w:shd w:val="clear" w:color="auto" w:fill="FFFFFF"/>
            <w:vAlign w:val="center"/>
          </w:tcPr>
          <w:p w:rsidR="00862FF6" w:rsidRDefault="00862FF6">
            <w:pPr>
              <w:framePr w:w="9062" w:h="2573" w:wrap="around" w:vAnchor="page" w:hAnchor="page" w:x="1441" w:y="12653"/>
            </w:pPr>
          </w:p>
        </w:tc>
        <w:tc>
          <w:tcPr>
            <w:tcW w:w="1354" w:type="dxa"/>
            <w:vMerge/>
            <w:tcBorders>
              <w:left w:val="single" w:sz="4" w:space="0" w:color="auto"/>
              <w:right w:val="single" w:sz="4" w:space="0" w:color="auto"/>
            </w:tcBorders>
            <w:shd w:val="clear" w:color="auto" w:fill="FFFFFF"/>
            <w:vAlign w:val="center"/>
          </w:tcPr>
          <w:p w:rsidR="00862FF6" w:rsidRDefault="00862FF6">
            <w:pPr>
              <w:framePr w:w="9062" w:h="2573" w:wrap="around" w:vAnchor="page" w:hAnchor="page" w:x="1441" w:y="12653"/>
            </w:pPr>
          </w:p>
        </w:tc>
      </w:tr>
      <w:tr w:rsidR="00862FF6">
        <w:tblPrEx>
          <w:tblCellMar>
            <w:top w:w="0" w:type="dxa"/>
            <w:bottom w:w="0" w:type="dxa"/>
          </w:tblCellMar>
        </w:tblPrEx>
        <w:trPr>
          <w:trHeight w:hRule="exact" w:val="379"/>
        </w:trPr>
        <w:tc>
          <w:tcPr>
            <w:tcW w:w="1234" w:type="dxa"/>
            <w:tcBorders>
              <w:top w:val="single" w:sz="4" w:space="0" w:color="auto"/>
              <w:left w:val="single" w:sz="4" w:space="0" w:color="auto"/>
            </w:tcBorders>
            <w:shd w:val="clear" w:color="auto" w:fill="FFFFFF"/>
            <w:vAlign w:val="center"/>
          </w:tcPr>
          <w:p w:rsidR="00862FF6" w:rsidRDefault="00F40C79">
            <w:pPr>
              <w:pStyle w:val="a7"/>
              <w:framePr w:w="9062" w:h="2573" w:wrap="around" w:vAnchor="page" w:hAnchor="page" w:x="1441" w:y="12653"/>
              <w:shd w:val="clear" w:color="auto" w:fill="auto"/>
              <w:spacing w:before="0" w:line="100" w:lineRule="exact"/>
              <w:jc w:val="center"/>
            </w:pPr>
            <w:r>
              <w:rPr>
                <w:rStyle w:val="ArialUnicodeMS5pt0pt"/>
                <w:vertAlign w:val="superscript"/>
              </w:rPr>
              <w:t>b</w:t>
            </w:r>
            <w:r>
              <w:rPr>
                <w:rStyle w:val="ArialUnicodeMS5pt0pt"/>
              </w:rPr>
              <w:t>3</w:t>
            </w:r>
          </w:p>
        </w:tc>
        <w:tc>
          <w:tcPr>
            <w:tcW w:w="1253" w:type="dxa"/>
            <w:tcBorders>
              <w:top w:val="single" w:sz="4" w:space="0" w:color="auto"/>
              <w:left w:val="single" w:sz="4" w:space="0" w:color="auto"/>
            </w:tcBorders>
            <w:shd w:val="clear" w:color="auto" w:fill="FFFFFF"/>
            <w:vAlign w:val="center"/>
          </w:tcPr>
          <w:p w:rsidR="00862FF6" w:rsidRDefault="00F40C79">
            <w:pPr>
              <w:pStyle w:val="a7"/>
              <w:framePr w:w="9062" w:h="2573" w:wrap="around" w:vAnchor="page" w:hAnchor="page" w:x="1441" w:y="12653"/>
              <w:shd w:val="clear" w:color="auto" w:fill="auto"/>
              <w:spacing w:before="0" w:line="120" w:lineRule="exact"/>
              <w:jc w:val="center"/>
            </w:pPr>
            <w:r>
              <w:rPr>
                <w:rStyle w:val="6pt0pt"/>
                <w:lang w:val="en-US" w:eastAsia="en-US" w:bidi="en-US"/>
              </w:rPr>
              <w:t>-0,30838</w:t>
            </w:r>
          </w:p>
        </w:tc>
        <w:tc>
          <w:tcPr>
            <w:tcW w:w="1181" w:type="dxa"/>
            <w:tcBorders>
              <w:top w:val="single" w:sz="4" w:space="0" w:color="auto"/>
              <w:left w:val="single" w:sz="4" w:space="0" w:color="auto"/>
            </w:tcBorders>
            <w:shd w:val="clear" w:color="auto" w:fill="FFFFFF"/>
            <w:vAlign w:val="center"/>
          </w:tcPr>
          <w:p w:rsidR="00862FF6" w:rsidRDefault="00F40C79">
            <w:pPr>
              <w:pStyle w:val="a7"/>
              <w:framePr w:w="9062" w:h="2573" w:wrap="around" w:vAnchor="page" w:hAnchor="page" w:x="1441" w:y="12653"/>
              <w:shd w:val="clear" w:color="auto" w:fill="auto"/>
              <w:spacing w:before="0" w:line="120" w:lineRule="exact"/>
              <w:jc w:val="center"/>
            </w:pPr>
            <w:r>
              <w:rPr>
                <w:rStyle w:val="6pt0pt"/>
              </w:rPr>
              <w:t>0,058458</w:t>
            </w:r>
          </w:p>
        </w:tc>
        <w:tc>
          <w:tcPr>
            <w:tcW w:w="1517" w:type="dxa"/>
            <w:tcBorders>
              <w:top w:val="single" w:sz="4" w:space="0" w:color="auto"/>
              <w:left w:val="single" w:sz="4" w:space="0" w:color="auto"/>
            </w:tcBorders>
            <w:shd w:val="clear" w:color="auto" w:fill="FFFFFF"/>
            <w:vAlign w:val="center"/>
          </w:tcPr>
          <w:p w:rsidR="00862FF6" w:rsidRDefault="00F40C79">
            <w:pPr>
              <w:pStyle w:val="a7"/>
              <w:framePr w:w="9062" w:h="2573" w:wrap="around" w:vAnchor="page" w:hAnchor="page" w:x="1441" w:y="12653"/>
              <w:shd w:val="clear" w:color="auto" w:fill="auto"/>
              <w:spacing w:before="0" w:line="120" w:lineRule="exact"/>
              <w:jc w:val="center"/>
            </w:pPr>
            <w:r>
              <w:rPr>
                <w:rStyle w:val="6pt0pt"/>
              </w:rPr>
              <w:t>-5,2752</w:t>
            </w:r>
          </w:p>
        </w:tc>
        <w:tc>
          <w:tcPr>
            <w:tcW w:w="1176" w:type="dxa"/>
            <w:vMerge/>
            <w:tcBorders>
              <w:left w:val="single" w:sz="4" w:space="0" w:color="auto"/>
            </w:tcBorders>
            <w:shd w:val="clear" w:color="auto" w:fill="FFFFFF"/>
            <w:vAlign w:val="center"/>
          </w:tcPr>
          <w:p w:rsidR="00862FF6" w:rsidRDefault="00862FF6">
            <w:pPr>
              <w:framePr w:w="9062" w:h="2573" w:wrap="around" w:vAnchor="page" w:hAnchor="page" w:x="1441" w:y="12653"/>
            </w:pPr>
          </w:p>
        </w:tc>
        <w:tc>
          <w:tcPr>
            <w:tcW w:w="1349" w:type="dxa"/>
            <w:vMerge/>
            <w:tcBorders>
              <w:left w:val="single" w:sz="4" w:space="0" w:color="auto"/>
            </w:tcBorders>
            <w:shd w:val="clear" w:color="auto" w:fill="FFFFFF"/>
            <w:vAlign w:val="center"/>
          </w:tcPr>
          <w:p w:rsidR="00862FF6" w:rsidRDefault="00862FF6">
            <w:pPr>
              <w:framePr w:w="9062" w:h="2573" w:wrap="around" w:vAnchor="page" w:hAnchor="page" w:x="1441" w:y="12653"/>
            </w:pPr>
          </w:p>
        </w:tc>
        <w:tc>
          <w:tcPr>
            <w:tcW w:w="1354" w:type="dxa"/>
            <w:vMerge/>
            <w:tcBorders>
              <w:left w:val="single" w:sz="4" w:space="0" w:color="auto"/>
              <w:right w:val="single" w:sz="4" w:space="0" w:color="auto"/>
            </w:tcBorders>
            <w:shd w:val="clear" w:color="auto" w:fill="FFFFFF"/>
            <w:vAlign w:val="center"/>
          </w:tcPr>
          <w:p w:rsidR="00862FF6" w:rsidRDefault="00862FF6">
            <w:pPr>
              <w:framePr w:w="9062" w:h="2573" w:wrap="around" w:vAnchor="page" w:hAnchor="page" w:x="1441" w:y="12653"/>
            </w:pPr>
          </w:p>
        </w:tc>
      </w:tr>
      <w:tr w:rsidR="00862FF6">
        <w:tblPrEx>
          <w:tblCellMar>
            <w:top w:w="0" w:type="dxa"/>
            <w:bottom w:w="0" w:type="dxa"/>
          </w:tblCellMar>
        </w:tblPrEx>
        <w:trPr>
          <w:trHeight w:hRule="exact" w:val="384"/>
        </w:trPr>
        <w:tc>
          <w:tcPr>
            <w:tcW w:w="1234" w:type="dxa"/>
            <w:tcBorders>
              <w:top w:val="single" w:sz="4" w:space="0" w:color="auto"/>
              <w:left w:val="single" w:sz="4" w:space="0" w:color="auto"/>
              <w:bottom w:val="single" w:sz="4" w:space="0" w:color="auto"/>
            </w:tcBorders>
            <w:shd w:val="clear" w:color="auto" w:fill="FFFFFF"/>
            <w:vAlign w:val="center"/>
          </w:tcPr>
          <w:p w:rsidR="00862FF6" w:rsidRDefault="00F40C79">
            <w:pPr>
              <w:pStyle w:val="a7"/>
              <w:framePr w:w="9062" w:h="2573" w:wrap="around" w:vAnchor="page" w:hAnchor="page" w:x="1441" w:y="12653"/>
              <w:shd w:val="clear" w:color="auto" w:fill="auto"/>
              <w:spacing w:before="0" w:line="100" w:lineRule="exact"/>
              <w:jc w:val="center"/>
            </w:pPr>
            <w:r>
              <w:rPr>
                <w:rStyle w:val="5pt0pt"/>
                <w:vertAlign w:val="superscript"/>
              </w:rPr>
              <w:t>Ь</w:t>
            </w:r>
            <w:r>
              <w:rPr>
                <w:rStyle w:val="5pt0pt"/>
              </w:rPr>
              <w:t>4</w:t>
            </w:r>
          </w:p>
        </w:tc>
        <w:tc>
          <w:tcPr>
            <w:tcW w:w="1253" w:type="dxa"/>
            <w:tcBorders>
              <w:top w:val="single" w:sz="4" w:space="0" w:color="auto"/>
              <w:left w:val="single" w:sz="4" w:space="0" w:color="auto"/>
              <w:bottom w:val="single" w:sz="4" w:space="0" w:color="auto"/>
            </w:tcBorders>
            <w:shd w:val="clear" w:color="auto" w:fill="FFFFFF"/>
            <w:vAlign w:val="center"/>
          </w:tcPr>
          <w:p w:rsidR="00862FF6" w:rsidRDefault="00F40C79">
            <w:pPr>
              <w:pStyle w:val="a7"/>
              <w:framePr w:w="9062" w:h="2573" w:wrap="around" w:vAnchor="page" w:hAnchor="page" w:x="1441" w:y="12653"/>
              <w:shd w:val="clear" w:color="auto" w:fill="auto"/>
              <w:spacing w:before="0" w:line="120" w:lineRule="exact"/>
              <w:jc w:val="center"/>
            </w:pPr>
            <w:r>
              <w:rPr>
                <w:rStyle w:val="6pt0pt"/>
                <w:lang w:val="en-US" w:eastAsia="en-US" w:bidi="en-US"/>
              </w:rPr>
              <w:t>-0,17333</w:t>
            </w:r>
          </w:p>
        </w:tc>
        <w:tc>
          <w:tcPr>
            <w:tcW w:w="1181" w:type="dxa"/>
            <w:tcBorders>
              <w:top w:val="single" w:sz="4" w:space="0" w:color="auto"/>
              <w:left w:val="single" w:sz="4" w:space="0" w:color="auto"/>
              <w:bottom w:val="single" w:sz="4" w:space="0" w:color="auto"/>
            </w:tcBorders>
            <w:shd w:val="clear" w:color="auto" w:fill="FFFFFF"/>
            <w:vAlign w:val="center"/>
          </w:tcPr>
          <w:p w:rsidR="00862FF6" w:rsidRDefault="00F40C79">
            <w:pPr>
              <w:pStyle w:val="a7"/>
              <w:framePr w:w="9062" w:h="2573" w:wrap="around" w:vAnchor="page" w:hAnchor="page" w:x="1441" w:y="12653"/>
              <w:shd w:val="clear" w:color="auto" w:fill="auto"/>
              <w:spacing w:before="0" w:line="120" w:lineRule="exact"/>
              <w:jc w:val="center"/>
            </w:pPr>
            <w:r>
              <w:rPr>
                <w:rStyle w:val="6pt0pt"/>
              </w:rPr>
              <w:t>1,593703</w:t>
            </w:r>
          </w:p>
        </w:tc>
        <w:tc>
          <w:tcPr>
            <w:tcW w:w="1517" w:type="dxa"/>
            <w:tcBorders>
              <w:top w:val="single" w:sz="4" w:space="0" w:color="auto"/>
              <w:left w:val="single" w:sz="4" w:space="0" w:color="auto"/>
              <w:bottom w:val="single" w:sz="4" w:space="0" w:color="auto"/>
            </w:tcBorders>
            <w:shd w:val="clear" w:color="auto" w:fill="FFFFFF"/>
            <w:vAlign w:val="center"/>
          </w:tcPr>
          <w:p w:rsidR="00862FF6" w:rsidRDefault="00F40C79">
            <w:pPr>
              <w:pStyle w:val="a7"/>
              <w:framePr w:w="9062" w:h="2573" w:wrap="around" w:vAnchor="page" w:hAnchor="page" w:x="1441" w:y="12653"/>
              <w:shd w:val="clear" w:color="auto" w:fill="auto"/>
              <w:spacing w:before="0" w:line="120" w:lineRule="exact"/>
              <w:jc w:val="center"/>
            </w:pPr>
            <w:r>
              <w:rPr>
                <w:rStyle w:val="6pt0pt"/>
              </w:rPr>
              <w:t>-0,10876</w:t>
            </w:r>
          </w:p>
        </w:tc>
        <w:tc>
          <w:tcPr>
            <w:tcW w:w="1176" w:type="dxa"/>
            <w:vMerge/>
            <w:tcBorders>
              <w:left w:val="single" w:sz="4" w:space="0" w:color="auto"/>
              <w:bottom w:val="single" w:sz="4" w:space="0" w:color="auto"/>
            </w:tcBorders>
            <w:shd w:val="clear" w:color="auto" w:fill="FFFFFF"/>
            <w:vAlign w:val="center"/>
          </w:tcPr>
          <w:p w:rsidR="00862FF6" w:rsidRDefault="00862FF6">
            <w:pPr>
              <w:framePr w:w="9062" w:h="2573" w:wrap="around" w:vAnchor="page" w:hAnchor="page" w:x="1441" w:y="12653"/>
            </w:pPr>
          </w:p>
        </w:tc>
        <w:tc>
          <w:tcPr>
            <w:tcW w:w="1349" w:type="dxa"/>
            <w:vMerge/>
            <w:tcBorders>
              <w:left w:val="single" w:sz="4" w:space="0" w:color="auto"/>
              <w:bottom w:val="single" w:sz="4" w:space="0" w:color="auto"/>
            </w:tcBorders>
            <w:shd w:val="clear" w:color="auto" w:fill="FFFFFF"/>
            <w:vAlign w:val="center"/>
          </w:tcPr>
          <w:p w:rsidR="00862FF6" w:rsidRDefault="00862FF6">
            <w:pPr>
              <w:framePr w:w="9062" w:h="2573" w:wrap="around" w:vAnchor="page" w:hAnchor="page" w:x="1441" w:y="12653"/>
            </w:pPr>
          </w:p>
        </w:tc>
        <w:tc>
          <w:tcPr>
            <w:tcW w:w="1354" w:type="dxa"/>
            <w:vMerge/>
            <w:tcBorders>
              <w:left w:val="single" w:sz="4" w:space="0" w:color="auto"/>
              <w:bottom w:val="single" w:sz="4" w:space="0" w:color="auto"/>
              <w:right w:val="single" w:sz="4" w:space="0" w:color="auto"/>
            </w:tcBorders>
            <w:shd w:val="clear" w:color="auto" w:fill="FFFFFF"/>
            <w:vAlign w:val="center"/>
          </w:tcPr>
          <w:p w:rsidR="00862FF6" w:rsidRDefault="00862FF6">
            <w:pPr>
              <w:framePr w:w="9062" w:h="2573" w:wrap="around" w:vAnchor="page" w:hAnchor="page" w:x="1441" w:y="12653"/>
            </w:pPr>
          </w:p>
        </w:tc>
      </w:tr>
    </w:tbl>
    <w:p w:rsidR="00862FF6" w:rsidRDefault="00F40C79">
      <w:pPr>
        <w:pStyle w:val="a5"/>
        <w:framePr w:wrap="around" w:vAnchor="page" w:hAnchor="page" w:x="1403" w:y="15557"/>
        <w:shd w:val="clear" w:color="auto" w:fill="auto"/>
        <w:spacing w:before="0" w:line="160" w:lineRule="exact"/>
        <w:ind w:left="20"/>
      </w:pPr>
      <w:r>
        <w:t>110</w:t>
      </w:r>
    </w:p>
    <w:p w:rsidR="00862FF6" w:rsidRDefault="00F40C79">
      <w:pPr>
        <w:pStyle w:val="32"/>
        <w:framePr w:wrap="around" w:vAnchor="page" w:hAnchor="page" w:x="8324" w:y="15557"/>
        <w:shd w:val="clear" w:color="auto" w:fill="auto"/>
        <w:spacing w:line="130" w:lineRule="exact"/>
        <w:ind w:left="20"/>
      </w:pPr>
      <w:r>
        <w:t>Наука молода № 19, 2013 р.</w:t>
      </w:r>
    </w:p>
    <w:p w:rsidR="00862FF6" w:rsidRDefault="00862FF6">
      <w:pPr>
        <w:rPr>
          <w:sz w:val="2"/>
          <w:szCs w:val="2"/>
        </w:rPr>
        <w:sectPr w:rsidR="00862FF6">
          <w:pgSz w:w="11909" w:h="16838"/>
          <w:pgMar w:top="0" w:right="0" w:bottom="0" w:left="0" w:header="0" w:footer="3" w:gutter="0"/>
          <w:cols w:space="720"/>
          <w:noEndnote/>
          <w:docGrid w:linePitch="360"/>
        </w:sectPr>
      </w:pPr>
    </w:p>
    <w:p w:rsidR="00862FF6" w:rsidRDefault="00F40C79">
      <w:pPr>
        <w:pStyle w:val="a5"/>
        <w:framePr w:wrap="around" w:vAnchor="page" w:hAnchor="page" w:x="5271" w:y="1299"/>
        <w:shd w:val="clear" w:color="auto" w:fill="auto"/>
        <w:spacing w:before="0" w:line="160" w:lineRule="exact"/>
        <w:ind w:left="20"/>
      </w:pPr>
      <w:r>
        <w:lastRenderedPageBreak/>
        <w:t>Перспективи розвитку фінансово-кредитної системи</w:t>
      </w:r>
    </w:p>
    <w:p w:rsidR="00862FF6" w:rsidRDefault="00F40C79">
      <w:pPr>
        <w:pStyle w:val="a7"/>
        <w:framePr w:w="9086" w:h="13474" w:hRule="exact" w:wrap="around" w:vAnchor="page" w:hAnchor="page" w:x="1431" w:y="1718"/>
        <w:shd w:val="clear" w:color="auto" w:fill="auto"/>
        <w:spacing w:before="0"/>
        <w:ind w:left="20" w:right="20" w:firstLine="280"/>
      </w:pPr>
      <w:r>
        <w:t>За результатами проведених розрахунків ми отримуємо таку багатофакторну лінійну регресійну модель:</w:t>
      </w:r>
    </w:p>
    <w:p w:rsidR="00862FF6" w:rsidRDefault="00F40C79">
      <w:pPr>
        <w:pStyle w:val="a7"/>
        <w:framePr w:w="9086" w:h="13474" w:hRule="exact" w:wrap="around" w:vAnchor="page" w:hAnchor="page" w:x="1431" w:y="1718"/>
        <w:shd w:val="clear" w:color="auto" w:fill="auto"/>
        <w:spacing w:before="0" w:after="60"/>
        <w:ind w:left="2160"/>
        <w:jc w:val="left"/>
      </w:pPr>
      <w:r>
        <w:rPr>
          <w:rStyle w:val="0pt"/>
        </w:rPr>
        <w:t>y</w:t>
      </w:r>
      <w:r>
        <w:rPr>
          <w:lang w:val="en-US" w:eastAsia="en-US" w:bidi="en-US"/>
        </w:rPr>
        <w:t xml:space="preserve"> </w:t>
      </w:r>
      <w:r>
        <w:t xml:space="preserve">= 89,57614 - 0,00886 </w:t>
      </w:r>
      <w:r>
        <w:rPr>
          <w:rStyle w:val="0pt"/>
          <w:lang w:val="uk-UA" w:eastAsia="uk-UA" w:bidi="uk-UA"/>
        </w:rPr>
        <w:t>Хі</w:t>
      </w:r>
      <w:r>
        <w:t>-</w:t>
      </w:r>
      <w:r>
        <w:rPr>
          <w:rStyle w:val="0pt0"/>
        </w:rPr>
        <w:t>1</w:t>
      </w:r>
      <w:r>
        <w:t>,35922 ^ - 0,30838 ^ - 0,17333 .</w:t>
      </w:r>
    </w:p>
    <w:p w:rsidR="00862FF6" w:rsidRDefault="00F40C79">
      <w:pPr>
        <w:pStyle w:val="a7"/>
        <w:framePr w:w="9086" w:h="13474" w:hRule="exact" w:wrap="around" w:vAnchor="page" w:hAnchor="page" w:x="1431" w:y="1718"/>
        <w:shd w:val="clear" w:color="auto" w:fill="auto"/>
        <w:spacing w:before="0"/>
        <w:ind w:left="20" w:right="20" w:firstLine="280"/>
      </w:pPr>
      <w:r>
        <w:t xml:space="preserve">Параметр </w:t>
      </w:r>
      <w:r>
        <w:rPr>
          <w:lang w:val="en-US" w:eastAsia="en-US" w:bidi="en-US"/>
        </w:rPr>
        <w:t>b</w:t>
      </w:r>
      <w:r>
        <w:rPr>
          <w:rStyle w:val="5pt0pt0"/>
          <w:vertAlign w:val="subscript"/>
        </w:rPr>
        <w:t>0</w:t>
      </w:r>
      <w:r>
        <w:rPr>
          <w:rStyle w:val="5pt0pt0"/>
        </w:rPr>
        <w:t xml:space="preserve"> </w:t>
      </w:r>
      <w:r>
        <w:t xml:space="preserve">= 89,57614 визначає рівень залежного показника за умови, що всі чинники дорівнюють нулю. Параметри </w:t>
      </w:r>
      <w:r>
        <w:rPr>
          <w:rStyle w:val="0pt"/>
        </w:rPr>
        <w:t>b</w:t>
      </w:r>
      <w:r>
        <w:rPr>
          <w:rStyle w:val="0pt"/>
          <w:vertAlign w:val="subscript"/>
        </w:rPr>
        <w:t>0</w:t>
      </w:r>
      <w:r>
        <w:rPr>
          <w:rStyle w:val="0pt"/>
        </w:rPr>
        <w:t>, b</w:t>
      </w:r>
      <w:r>
        <w:rPr>
          <w:rStyle w:val="0pt"/>
          <w:vertAlign w:val="subscript"/>
        </w:rPr>
        <w:t>1</w:t>
      </w:r>
      <w:r>
        <w:rPr>
          <w:rStyle w:val="0pt"/>
        </w:rPr>
        <w:t>, b</w:t>
      </w:r>
      <w:r>
        <w:rPr>
          <w:vertAlign w:val="subscript"/>
          <w:lang w:val="en-US" w:eastAsia="en-US" w:bidi="en-US"/>
        </w:rPr>
        <w:t>2</w:t>
      </w:r>
      <w:r>
        <w:t xml:space="preserve">, </w:t>
      </w:r>
      <w:r>
        <w:rPr>
          <w:rStyle w:val="0pt"/>
        </w:rPr>
        <w:t>b</w:t>
      </w:r>
      <w:r>
        <w:rPr>
          <w:vertAlign w:val="subscript"/>
          <w:lang w:val="en-US" w:eastAsia="en-US" w:bidi="en-US"/>
        </w:rPr>
        <w:t>3</w:t>
      </w:r>
      <w:r>
        <w:rPr>
          <w:lang w:val="en-US" w:eastAsia="en-US" w:bidi="en-US"/>
        </w:rPr>
        <w:t>, b</w:t>
      </w:r>
      <w:r>
        <w:rPr>
          <w:rStyle w:val="5pt0pt0"/>
          <w:vertAlign w:val="subscript"/>
        </w:rPr>
        <w:t>4</w:t>
      </w:r>
      <w:r>
        <w:rPr>
          <w:rStyle w:val="5pt0pt0"/>
        </w:rPr>
        <w:t xml:space="preserve"> </w:t>
      </w:r>
      <w:r>
        <w:rPr>
          <w:lang w:val="en-US" w:eastAsia="en-US" w:bidi="en-US"/>
        </w:rPr>
        <w:t xml:space="preserve">- </w:t>
      </w:r>
      <w:r>
        <w:t xml:space="preserve">часткові коефіцієнти регресії. Кожен з них вимірює вплив відповідної змінної за умови, що всі інші залишаються без змін, тобто є константами. Наприклад, зі збільшенням чинника </w:t>
      </w:r>
      <w:r>
        <w:rPr>
          <w:rStyle w:val="0pt"/>
          <w:lang w:val="uk-UA" w:eastAsia="uk-UA" w:bidi="uk-UA"/>
        </w:rPr>
        <w:t>Хі</w:t>
      </w:r>
      <w:r>
        <w:t xml:space="preserve"> (рівня покриття страховими резервами проблемної заборгованості за кредитними </w:t>
      </w:r>
      <w:r>
        <w:t xml:space="preserve">операціями) на одиницю значення частки проблемної заборгованості зменшиться на 0,00886, із збільшення чинника </w:t>
      </w:r>
      <w:r>
        <w:rPr>
          <w:rStyle w:val="0pt"/>
          <w:lang w:val="uk-UA" w:eastAsia="uk-UA" w:bidi="uk-UA"/>
        </w:rPr>
        <w:t>Х</w:t>
      </w:r>
      <w:r>
        <w:rPr>
          <w:rStyle w:val="ArialUnicodeMS6pt0pt"/>
        </w:rPr>
        <w:t>2</w:t>
      </w:r>
      <w:r>
        <w:t xml:space="preserve"> (середньозважена ставка за кредитами) на одиницю значення частки проблемної заборгованості зменшиться на 1,35922, а зі збільшенням чинника </w:t>
      </w:r>
      <w:r>
        <w:rPr>
          <w:rStyle w:val="0pt"/>
          <w:lang w:val="uk-UA" w:eastAsia="uk-UA" w:bidi="uk-UA"/>
        </w:rPr>
        <w:t>Хз</w:t>
      </w:r>
      <w:r>
        <w:t xml:space="preserve"> (</w:t>
      </w:r>
      <w:r>
        <w:t>темпи зростання обсягу кредитних операцій) на одиницю значення частки проблемної заборгованості зменшиться на 0,30838. Як видно з обчислених коефіцієнтів, всі досліджувані чинники мають суттєвий зворотній вплив на залежну змінну. Вплив інших компонентів оп</w:t>
      </w:r>
      <w:r>
        <w:t>осередковується через ці компоненти, які</w:t>
      </w:r>
    </w:p>
    <w:p w:rsidR="00862FF6" w:rsidRDefault="00F40C79">
      <w:pPr>
        <w:pStyle w:val="a7"/>
        <w:framePr w:w="9086" w:h="13474" w:hRule="exact" w:wrap="around" w:vAnchor="page" w:hAnchor="page" w:x="1431" w:y="1718"/>
        <w:numPr>
          <w:ilvl w:val="0"/>
          <w:numId w:val="1"/>
        </w:numPr>
        <w:shd w:val="clear" w:color="auto" w:fill="auto"/>
        <w:spacing w:before="0"/>
        <w:ind w:left="20" w:right="20"/>
      </w:pPr>
      <w:r>
        <w:t xml:space="preserve"> ними корелюють. Множинний коефіцієнт кореляції </w:t>
      </w:r>
      <w:r>
        <w:rPr>
          <w:lang w:val="en-US" w:eastAsia="en-US" w:bidi="en-US"/>
        </w:rPr>
        <w:t>R=0,</w:t>
      </w:r>
      <w:r>
        <w:t xml:space="preserve">995522, а коефіцієнт детермінації - </w:t>
      </w:r>
      <w:r>
        <w:rPr>
          <w:lang w:val="en-US" w:eastAsia="en-US" w:bidi="en-US"/>
        </w:rPr>
        <w:t>R</w:t>
      </w:r>
      <w:r>
        <w:rPr>
          <w:vertAlign w:val="superscript"/>
          <w:lang w:val="en-US" w:eastAsia="en-US" w:bidi="en-US"/>
        </w:rPr>
        <w:t>2</w:t>
      </w:r>
      <w:r>
        <w:rPr>
          <w:lang w:val="en-US" w:eastAsia="en-US" w:bidi="en-US"/>
        </w:rPr>
        <w:t xml:space="preserve">= </w:t>
      </w:r>
      <w:r>
        <w:t>0,991064, що свідчить про адекватність моделі (модель пояснює, що приблизно 99% зміни частки проблемних кредитів у загально</w:t>
      </w:r>
      <w:r>
        <w:t>му обсязі кредитних операцій пов’язано зі зміною: рівня страхових резервів покриття проблемних кредитів, середньозваженою процентною ставкою за кредитами та темпів зростання кредитів).</w:t>
      </w:r>
    </w:p>
    <w:p w:rsidR="00862FF6" w:rsidRDefault="00F40C79">
      <w:pPr>
        <w:pStyle w:val="a7"/>
        <w:framePr w:w="9086" w:h="13474" w:hRule="exact" w:wrap="around" w:vAnchor="page" w:hAnchor="page" w:x="1431" w:y="1718"/>
        <w:shd w:val="clear" w:color="auto" w:fill="auto"/>
        <w:spacing w:before="0"/>
        <w:ind w:left="20" w:right="20" w:firstLine="280"/>
      </w:pPr>
      <w:r>
        <w:t>Для оцінки надійності кореляційних характеристикбуло використано критер</w:t>
      </w:r>
      <w:r>
        <w:t xml:space="preserve">ій Фішера </w:t>
      </w:r>
      <w:r>
        <w:rPr>
          <w:lang w:val="en-US" w:eastAsia="en-US" w:bidi="en-US"/>
        </w:rPr>
        <w:t xml:space="preserve">F. </w:t>
      </w:r>
      <w:r>
        <w:t xml:space="preserve">Якщо </w:t>
      </w:r>
      <w:r>
        <w:rPr>
          <w:lang w:val="en-US" w:eastAsia="en-US" w:bidi="en-US"/>
        </w:rPr>
        <w:t xml:space="preserve">F </w:t>
      </w:r>
      <w:r>
        <w:t xml:space="preserve">фактичний &gt; </w:t>
      </w:r>
      <w:r>
        <w:rPr>
          <w:lang w:val="en-US" w:eastAsia="en-US" w:bidi="en-US"/>
        </w:rPr>
        <w:t xml:space="preserve">F </w:t>
      </w:r>
      <w:r>
        <w:t>теоретичний, то з прийнятним ступенем ймовірності можна стверджувати про наяв</w:t>
      </w:r>
      <w:r>
        <w:softHyphen/>
        <w:t xml:space="preserve">ність впливу чинників, які вивчаються. Для нашого розрахунку Fф (27,72627) &gt; </w:t>
      </w:r>
      <w:r>
        <w:rPr>
          <w:rStyle w:val="aa"/>
        </w:rPr>
        <w:t>Ft</w:t>
      </w:r>
      <w:r>
        <w:rPr>
          <w:lang w:val="en-US" w:eastAsia="en-US" w:bidi="en-US"/>
        </w:rPr>
        <w:t xml:space="preserve"> </w:t>
      </w:r>
      <w:r>
        <w:t>(0,141374). Отже, припущення про наявність взаємозв’язку залежно</w:t>
      </w:r>
      <w:r>
        <w:t>ї та незалежних змінних підтверджується.</w:t>
      </w:r>
    </w:p>
    <w:p w:rsidR="00862FF6" w:rsidRDefault="00F40C79">
      <w:pPr>
        <w:pStyle w:val="a7"/>
        <w:framePr w:w="9086" w:h="13474" w:hRule="exact" w:wrap="around" w:vAnchor="page" w:hAnchor="page" w:x="1431" w:y="1718"/>
        <w:shd w:val="clear" w:color="auto" w:fill="auto"/>
        <w:spacing w:before="0"/>
        <w:ind w:left="20" w:right="20" w:firstLine="280"/>
      </w:pPr>
      <w:r>
        <w:t xml:space="preserve">Для усунення автокореляції та здійснення економічного прогнозування ми запровадили змінну величину </w:t>
      </w:r>
      <w:r>
        <w:rPr>
          <w:lang w:val="en-US" w:eastAsia="en-US" w:bidi="en-US"/>
        </w:rPr>
        <w:t xml:space="preserve">t </w:t>
      </w:r>
      <w:r>
        <w:t>в рівняння регресії, де вона виконує роль чинника часу, й обчислили для неї відповідний параметр регресії.</w:t>
      </w:r>
    </w:p>
    <w:p w:rsidR="00862FF6" w:rsidRDefault="00F40C79">
      <w:pPr>
        <w:pStyle w:val="a7"/>
        <w:framePr w:w="9086" w:h="13474" w:hRule="exact" w:wrap="around" w:vAnchor="page" w:hAnchor="page" w:x="1431" w:y="1718"/>
        <w:shd w:val="clear" w:color="auto" w:fill="auto"/>
        <w:spacing w:before="0" w:after="132"/>
        <w:ind w:left="20" w:right="20" w:firstLine="280"/>
      </w:pPr>
      <w:r>
        <w:t>Зрозумі</w:t>
      </w:r>
      <w:r>
        <w:t>ло, що такий економічний прогноз має сенс на короткостроковий період, стосовно якого можна прийняти, що характеристики досліджуваного явища істотно не зміняться. За допомогою використання отриманого рівняння регресії визначимо показники частки недіючих кре</w:t>
      </w:r>
      <w:r>
        <w:t>дитів у загаль</w:t>
      </w:r>
      <w:r>
        <w:softHyphen/>
        <w:t>ному обсязі кредитів банківської системи за станом на 1 січня 2012 р. і за станом на 1 січня 2013 р.</w:t>
      </w:r>
    </w:p>
    <w:p w:rsidR="00862FF6" w:rsidRDefault="00F40C79">
      <w:pPr>
        <w:pStyle w:val="a7"/>
        <w:framePr w:w="9086" w:h="13474" w:hRule="exact" w:wrap="around" w:vAnchor="page" w:hAnchor="page" w:x="1431" w:y="1718"/>
        <w:shd w:val="clear" w:color="auto" w:fill="auto"/>
        <w:spacing w:before="0" w:after="97" w:line="160" w:lineRule="exact"/>
        <w:ind w:left="20" w:firstLine="280"/>
      </w:pPr>
      <w:r>
        <w:rPr>
          <w:rStyle w:val="ArialUnicodeMS6pt0pt0"/>
          <w:vertAlign w:val="superscript"/>
        </w:rPr>
        <w:t>y</w:t>
      </w:r>
      <w:r>
        <w:rPr>
          <w:rStyle w:val="ArialUnicodeMS6pt0pt0"/>
        </w:rPr>
        <w:t>01</w:t>
      </w:r>
      <w:r>
        <w:rPr>
          <w:rStyle w:val="5pt0pt0"/>
        </w:rPr>
        <w:t xml:space="preserve"> </w:t>
      </w:r>
      <w:r>
        <w:rPr>
          <w:rStyle w:val="5pt"/>
        </w:rPr>
        <w:t>.012012</w:t>
      </w:r>
      <w:r>
        <w:rPr>
          <w:rStyle w:val="5pt0pt0"/>
          <w:lang w:val="uk-UA" w:eastAsia="uk-UA" w:bidi="uk-UA"/>
        </w:rPr>
        <w:t xml:space="preserve"> </w:t>
      </w:r>
      <w:r>
        <w:t>= 89,57614 - 0,00886 х 35,40 -1,35922 х14,80 - 0,30838 х 101,00 - 0,17333 х 7= 36,78635.</w:t>
      </w:r>
    </w:p>
    <w:p w:rsidR="00862FF6" w:rsidRDefault="00F40C79">
      <w:pPr>
        <w:pStyle w:val="a7"/>
        <w:framePr w:w="9086" w:h="13474" w:hRule="exact" w:wrap="around" w:vAnchor="page" w:hAnchor="page" w:x="1431" w:y="1718"/>
        <w:shd w:val="clear" w:color="auto" w:fill="auto"/>
        <w:spacing w:before="0" w:after="92" w:line="160" w:lineRule="exact"/>
        <w:ind w:left="20" w:firstLine="280"/>
      </w:pPr>
      <w:r>
        <w:rPr>
          <w:rStyle w:val="0pt"/>
          <w:lang w:val="uk-UA" w:eastAsia="uk-UA" w:bidi="uk-UA"/>
        </w:rPr>
        <w:t xml:space="preserve">У </w:t>
      </w:r>
      <w:r>
        <w:rPr>
          <w:rStyle w:val="ArialUnicodeMS6pt0pt"/>
        </w:rPr>
        <w:t>01</w:t>
      </w:r>
      <w:r>
        <w:t xml:space="preserve"> </w:t>
      </w:r>
      <w:r>
        <w:rPr>
          <w:rStyle w:val="5pt"/>
        </w:rPr>
        <w:t>.012013</w:t>
      </w:r>
      <w:r>
        <w:rPr>
          <w:rStyle w:val="5pt0pt0"/>
          <w:lang w:val="uk-UA" w:eastAsia="uk-UA" w:bidi="uk-UA"/>
        </w:rPr>
        <w:t xml:space="preserve"> </w:t>
      </w:r>
      <w:r>
        <w:t xml:space="preserve">= 89,57614 - 0,00886 х </w:t>
      </w:r>
      <w:r>
        <w:t>35,40 -1,35922 х 14,80 - 0,30838 х 101,00 - 0,17333 х 8= 36,61302.</w:t>
      </w:r>
    </w:p>
    <w:p w:rsidR="00862FF6" w:rsidRDefault="00F40C79">
      <w:pPr>
        <w:pStyle w:val="a7"/>
        <w:framePr w:w="9086" w:h="13474" w:hRule="exact" w:wrap="around" w:vAnchor="page" w:hAnchor="page" w:x="1431" w:y="1718"/>
        <w:shd w:val="clear" w:color="auto" w:fill="auto"/>
        <w:spacing w:before="0"/>
        <w:ind w:left="20" w:right="20" w:firstLine="280"/>
      </w:pPr>
      <w:r>
        <w:t>Фактично отримані дані показують, що частка недіючих кредитів у загальному кредитному порт</w:t>
      </w:r>
      <w:r>
        <w:softHyphen/>
        <w:t>фелі банківської системи за станом на 1 січня 2012 р. становила б 36,8%, а за станом на 1 січня 20</w:t>
      </w:r>
      <w:r>
        <w:t xml:space="preserve">13 р. - 36,6%, що дещо менше від показника 2010 р. - 37,4%. Доповнюючи регресійний аналіз логічним, необхідно зауважити, що незалежні факторні змінні зазнали значних коливань впродовж 2009-2010 </w:t>
      </w:r>
      <w:r>
        <w:rPr>
          <w:lang w:val="en-US" w:eastAsia="en-US" w:bidi="en-US"/>
        </w:rPr>
        <w:t xml:space="preserve">pp. </w:t>
      </w:r>
      <w:r>
        <w:t>під впливом системної фінансової кризи. Зокрема, найбільше</w:t>
      </w:r>
      <w:r>
        <w:t xml:space="preserve"> це позначилося на темпах зростання активів у системі вітчизняних банків (див. табл. 2). Так, за період 2005-2010 </w:t>
      </w:r>
      <w:r>
        <w:rPr>
          <w:lang w:val="en-US" w:eastAsia="en-US" w:bidi="en-US"/>
        </w:rPr>
        <w:t xml:space="preserve">pp. </w:t>
      </w:r>
      <w:r>
        <w:t>середнє значення темпів зростання кредитів становило 145,05%, аза станом на 1 січня 2011 р. - лише 101,0%. Така вагома відмінність значення незалежної змінної Тз за станом на 1 січня 2011 р. від середнього значення породжує значну невизначеність у прогнозі</w:t>
      </w:r>
      <w:r>
        <w:t xml:space="preserve"> щодо достовірності отриманого результату, визначеного числовим значенням. Натомість отримана завдяки проведеним розрахункам майбутня тенденція до зниження частки недіючих кредитів у загальному обсязі кредитних операцій загалом по банківській системі у 201</w:t>
      </w:r>
      <w:r>
        <w:t xml:space="preserve">1-2012 </w:t>
      </w:r>
      <w:r>
        <w:rPr>
          <w:lang w:val="en-US" w:eastAsia="en-US" w:bidi="en-US"/>
        </w:rPr>
        <w:t xml:space="preserve">pp., </w:t>
      </w:r>
      <w:r>
        <w:t>засвідчена рівнянням регресії, є об’єктивною.</w:t>
      </w:r>
    </w:p>
    <w:p w:rsidR="00862FF6" w:rsidRDefault="00F40C79">
      <w:pPr>
        <w:pStyle w:val="a7"/>
        <w:framePr w:w="9086" w:h="13474" w:hRule="exact" w:wrap="around" w:vAnchor="page" w:hAnchor="page" w:x="1431" w:y="1718"/>
        <w:shd w:val="clear" w:color="auto" w:fill="auto"/>
        <w:spacing w:before="0"/>
        <w:ind w:left="20" w:right="20" w:firstLine="280"/>
      </w:pPr>
      <w:r>
        <w:t>Перевірити об’єктивність прогнозованих результатів моделі шляхом зіставлення фактичних даних показника частки проблемної заборгованості є дещо утруднено, оскільки у 2011 р. Національний банк України</w:t>
      </w:r>
      <w:r>
        <w:t xml:space="preserve"> здійснив розрахунок обсягу недіючих кредитів за іншою методологією, яка включала вже не</w:t>
      </w:r>
    </w:p>
    <w:p w:rsidR="00862FF6" w:rsidRDefault="00F40C79">
      <w:pPr>
        <w:pStyle w:val="a7"/>
        <w:framePr w:w="9086" w:h="13474" w:hRule="exact" w:wrap="around" w:vAnchor="page" w:hAnchor="page" w:x="1431" w:y="1718"/>
        <w:numPr>
          <w:ilvl w:val="0"/>
          <w:numId w:val="1"/>
        </w:numPr>
        <w:shd w:val="clear" w:color="auto" w:fill="auto"/>
        <w:spacing w:before="0"/>
        <w:ind w:left="20" w:right="20"/>
      </w:pPr>
      <w:r>
        <w:t xml:space="preserve"> групи негативно класифікованих активів, а лише 2 із чотирьох існуючих, відповідно частка недіючих кредитів різко скоротилася і становила за станом на 01.01.2012 р. 14</w:t>
      </w:r>
      <w:r>
        <w:t>,73%, аза станом на IV квартал 2012 р. - 13,8% [6]. При аналізі статистичних даних центрального банку ми також спостерігаємо тенденцію до зменшення проблемної заборгованості банків України (з IV кварталу 2012 р. було внесено зміни до порядку класифікації а</w:t>
      </w:r>
      <w:r>
        <w:t>ктивів за категоріями якості, згідно з якою до недіючих кредитів зараховують тільки 2 групи найбільш ризикованих активів із п’яти можливих).</w:t>
      </w:r>
    </w:p>
    <w:p w:rsidR="00862FF6" w:rsidRDefault="00F40C79">
      <w:pPr>
        <w:pStyle w:val="32"/>
        <w:framePr w:wrap="around" w:vAnchor="page" w:hAnchor="page" w:x="1422" w:y="15564"/>
        <w:shd w:val="clear" w:color="auto" w:fill="auto"/>
        <w:spacing w:line="130" w:lineRule="exact"/>
        <w:ind w:left="20"/>
      </w:pPr>
      <w:r>
        <w:t>Наука молода № 19, 2013 р.</w:t>
      </w:r>
    </w:p>
    <w:p w:rsidR="00862FF6" w:rsidRDefault="00F40C79">
      <w:pPr>
        <w:pStyle w:val="a5"/>
        <w:framePr w:wrap="around" w:vAnchor="page" w:hAnchor="page" w:x="10206" w:y="15593"/>
        <w:shd w:val="clear" w:color="auto" w:fill="auto"/>
        <w:spacing w:before="0" w:line="160" w:lineRule="exact"/>
        <w:ind w:left="20"/>
      </w:pPr>
      <w:r>
        <w:t>111</w:t>
      </w:r>
    </w:p>
    <w:p w:rsidR="00862FF6" w:rsidRDefault="00862FF6">
      <w:pPr>
        <w:rPr>
          <w:sz w:val="2"/>
          <w:szCs w:val="2"/>
        </w:rPr>
        <w:sectPr w:rsidR="00862FF6">
          <w:pgSz w:w="11909" w:h="16838"/>
          <w:pgMar w:top="0" w:right="0" w:bottom="0" w:left="0" w:header="0" w:footer="3" w:gutter="0"/>
          <w:cols w:space="720"/>
          <w:noEndnote/>
          <w:docGrid w:linePitch="360"/>
        </w:sectPr>
      </w:pPr>
    </w:p>
    <w:p w:rsidR="00862FF6" w:rsidRDefault="00F40C79">
      <w:pPr>
        <w:pStyle w:val="20"/>
        <w:framePr w:w="9158" w:h="432" w:hRule="exact" w:wrap="around" w:vAnchor="page" w:hAnchor="page" w:x="1395" w:y="1061"/>
        <w:shd w:val="clear" w:color="auto" w:fill="auto"/>
        <w:spacing w:after="51" w:line="150" w:lineRule="exact"/>
        <w:ind w:left="40"/>
      </w:pPr>
      <w:r>
        <w:lastRenderedPageBreak/>
        <w:t>С. Лобовинська</w:t>
      </w:r>
    </w:p>
    <w:p w:rsidR="00862FF6" w:rsidRDefault="00F40C79">
      <w:pPr>
        <w:pStyle w:val="a5"/>
        <w:framePr w:w="9158" w:h="432" w:hRule="exact" w:wrap="around" w:vAnchor="page" w:hAnchor="page" w:x="1395" w:y="1061"/>
        <w:shd w:val="clear" w:color="auto" w:fill="auto"/>
        <w:spacing w:before="0" w:line="160" w:lineRule="exact"/>
        <w:ind w:left="40"/>
      </w:pPr>
      <w:r>
        <w:t>Аналітика проблемної заборгованості ...</w:t>
      </w:r>
    </w:p>
    <w:p w:rsidR="00862FF6" w:rsidRDefault="00F40C79">
      <w:pPr>
        <w:pStyle w:val="a7"/>
        <w:framePr w:w="9110" w:h="11430" w:hRule="exact" w:wrap="around" w:vAnchor="page" w:hAnchor="page" w:x="1419" w:y="1720"/>
        <w:shd w:val="clear" w:color="auto" w:fill="auto"/>
        <w:spacing w:before="0"/>
        <w:ind w:left="20" w:right="40" w:firstLine="300"/>
      </w:pPr>
      <w:r>
        <w:t xml:space="preserve">Також доцільно зауважити, що згідно з теорією кореляційно-регресійного аналізу результатам економічного прогнозування можна довіряти тим більше, чим ближче значення похибки апроксимації </w:t>
      </w:r>
      <w:r>
        <w:rPr>
          <w:rStyle w:val="0pt"/>
        </w:rPr>
        <w:t>R</w:t>
      </w:r>
      <w:r>
        <w:rPr>
          <w:rStyle w:val="0pt"/>
          <w:vertAlign w:val="superscript"/>
        </w:rPr>
        <w:t>2</w:t>
      </w:r>
      <w:r>
        <w:rPr>
          <w:lang w:val="en-US" w:eastAsia="en-US" w:bidi="en-US"/>
        </w:rPr>
        <w:t xml:space="preserve"> </w:t>
      </w:r>
      <w:r>
        <w:t xml:space="preserve">до одиниці. За нашими розрахунками </w:t>
      </w:r>
      <w:r>
        <w:rPr>
          <w:rStyle w:val="0pt"/>
        </w:rPr>
        <w:t>R</w:t>
      </w:r>
      <w:r>
        <w:rPr>
          <w:rStyle w:val="0pt"/>
          <w:vertAlign w:val="superscript"/>
        </w:rPr>
        <w:t>2</w:t>
      </w:r>
      <w:r>
        <w:rPr>
          <w:rStyle w:val="0pt"/>
        </w:rPr>
        <w:t xml:space="preserve"> =</w:t>
      </w:r>
      <w:r>
        <w:rPr>
          <w:lang w:val="en-US" w:eastAsia="en-US" w:bidi="en-US"/>
        </w:rPr>
        <w:t xml:space="preserve"> </w:t>
      </w:r>
      <w:r>
        <w:t xml:space="preserve">0,991064. Тобто коефіцієнт </w:t>
      </w:r>
      <w:r>
        <w:t xml:space="preserve">детермінації моделі </w:t>
      </w:r>
      <w:r>
        <w:rPr>
          <w:rStyle w:val="0pt"/>
        </w:rPr>
        <w:t>R</w:t>
      </w:r>
      <w:r>
        <w:rPr>
          <w:rStyle w:val="0pt"/>
          <w:vertAlign w:val="superscript"/>
        </w:rPr>
        <w:t>2</w:t>
      </w:r>
      <w:r>
        <w:rPr>
          <w:lang w:val="en-US" w:eastAsia="en-US" w:bidi="en-US"/>
        </w:rPr>
        <w:t xml:space="preserve"> </w:t>
      </w:r>
      <w:r>
        <w:t>свід</w:t>
      </w:r>
      <w:r>
        <w:softHyphen/>
        <w:t>чить про її високу адекватність.</w:t>
      </w:r>
    </w:p>
    <w:p w:rsidR="00862FF6" w:rsidRDefault="00F40C79">
      <w:pPr>
        <w:pStyle w:val="a7"/>
        <w:framePr w:w="9110" w:h="11430" w:hRule="exact" w:wrap="around" w:vAnchor="page" w:hAnchor="page" w:x="1419" w:y="1720"/>
        <w:shd w:val="clear" w:color="auto" w:fill="auto"/>
        <w:spacing w:before="0"/>
        <w:ind w:left="20" w:right="40" w:firstLine="300"/>
      </w:pPr>
      <w:r>
        <w:t>Отже, проведене дослідження виявило щільні кореляційні взаємозв’язки між часткою проблемних кредитів у загальному обсязі кредитних операцій вітчизняних банків та рівнем покриття страховими резерв</w:t>
      </w:r>
      <w:r>
        <w:t>ами проблемних кредитів, середньозваженою процентною ставкою за кредитами та темпами зростання кредитів.</w:t>
      </w:r>
    </w:p>
    <w:p w:rsidR="00862FF6" w:rsidRDefault="00F40C79">
      <w:pPr>
        <w:pStyle w:val="a7"/>
        <w:framePr w:w="9110" w:h="11430" w:hRule="exact" w:wrap="around" w:vAnchor="page" w:hAnchor="page" w:x="1419" w:y="1720"/>
        <w:shd w:val="clear" w:color="auto" w:fill="auto"/>
        <w:spacing w:before="0"/>
        <w:ind w:left="20" w:right="40" w:firstLine="300"/>
      </w:pPr>
      <w:r>
        <w:t>Параметри рівняння чітко визначають значний зворотний вплив незалежних змінних на залежну. Це доводить до висновку, що зі зростанням рівня покриття стр</w:t>
      </w:r>
      <w:r>
        <w:t>аховими резервами недійсних кредитів та середньозваженої процентної ставки за кредитами знижується частка проблемної заборгованості. З огляду на це формування резервів за стандартною та нестандартною кредитною заборгованістю має здійснюватися у повному обс</w:t>
      </w:r>
      <w:r>
        <w:t>язі зі встановленням жорсткого контролю з боку банківського регулятора щодо правил формування та зберігання цих резервів на відповідних рахунках. Разом із тим, банкам доцільно переглянути механізми ціноутворення на кредитні ресурси. Зокрема, замість заклад</w:t>
      </w:r>
      <w:r>
        <w:t>ання компенсації ризику неповернення кредитів у ціну кредиту доцільно вдосконалювати механізми оцінки кредитоспроможності клієнтів та адекватно аналізувати кредитний ризик на почат- кових стадіях кредитування. Зниження середньозваженої процентної ставки за</w:t>
      </w:r>
      <w:r>
        <w:t xml:space="preserve"> кредитними ресурсами з одночасним підвищенням вимог до якості оцінки кредитного ризику здатне розширити масштаби кредитування, що приведе до зниження надлишкової ліквідності, позитивно позначиться на темпах зростання кредитування економіки і вагомо вплине</w:t>
      </w:r>
      <w:r>
        <w:t xml:space="preserve"> на зменшення частки недіючих кредитів у кредитному портфелі банків. Окрім того, високий показник адекватності моделі </w:t>
      </w:r>
      <w:r>
        <w:rPr>
          <w:rStyle w:val="0pt"/>
        </w:rPr>
        <w:t>(R</w:t>
      </w:r>
      <w:r>
        <w:rPr>
          <w:rStyle w:val="0pt"/>
          <w:vertAlign w:val="superscript"/>
        </w:rPr>
        <w:t>2</w:t>
      </w:r>
      <w:r>
        <w:t>) дає змогу використовувати модель для прогнозування майбутніх тенденцій зміни частки недіючих кредитів у загальному обсязі банківських</w:t>
      </w:r>
      <w:r>
        <w:t xml:space="preserve"> кредитів.</w:t>
      </w:r>
    </w:p>
    <w:p w:rsidR="00862FF6" w:rsidRDefault="00F40C79">
      <w:pPr>
        <w:pStyle w:val="a7"/>
        <w:framePr w:w="9110" w:h="11430" w:hRule="exact" w:wrap="around" w:vAnchor="page" w:hAnchor="page" w:x="1419" w:y="1720"/>
        <w:shd w:val="clear" w:color="auto" w:fill="auto"/>
        <w:spacing w:before="0" w:after="236"/>
        <w:ind w:left="20" w:right="40" w:firstLine="300"/>
      </w:pPr>
      <w:r>
        <w:t>Отже, проведений аналіз довів, що рівень ефективності державного регулювання банківської сис</w:t>
      </w:r>
      <w:r>
        <w:softHyphen/>
        <w:t>теми необхідно підвищувати шляхом проведення масштабних реформ реального та фінансового секторів. При цьому у найближчій перспективі державні регулятори</w:t>
      </w:r>
      <w:r>
        <w:t xml:space="preserve"> банківських систем для мінімізації обсягів проблемної заборгованості мають зосередити свої зусилля на контролі за формуванням страхових резервів банками під можливі кредитні ризики у повному обсязі, стимулювати зниження вартості кредитів банків з одночасн</w:t>
      </w:r>
      <w:r>
        <w:t>им безперервних наглядом за адекватністю застосування методик аналізу кредитоспроможності позичальників та диверсифікації кредитних портфелів банками.</w:t>
      </w:r>
    </w:p>
    <w:p w:rsidR="00862FF6" w:rsidRDefault="00F40C79">
      <w:pPr>
        <w:pStyle w:val="10"/>
        <w:framePr w:w="9110" w:h="11430" w:hRule="exact" w:wrap="around" w:vAnchor="page" w:hAnchor="page" w:x="1419" w:y="1720"/>
        <w:shd w:val="clear" w:color="auto" w:fill="auto"/>
        <w:spacing w:before="0" w:after="88" w:line="180" w:lineRule="exact"/>
        <w:ind w:left="40"/>
      </w:pPr>
      <w:bookmarkStart w:id="1" w:name="bookmark1"/>
      <w:r>
        <w:t>Література</w:t>
      </w:r>
      <w:bookmarkEnd w:id="1"/>
    </w:p>
    <w:p w:rsidR="00862FF6" w:rsidRDefault="00F40C79">
      <w:pPr>
        <w:pStyle w:val="30"/>
        <w:framePr w:w="9110" w:h="11430" w:hRule="exact" w:wrap="around" w:vAnchor="page" w:hAnchor="page" w:x="1419" w:y="1720"/>
        <w:numPr>
          <w:ilvl w:val="0"/>
          <w:numId w:val="2"/>
        </w:numPr>
        <w:shd w:val="clear" w:color="auto" w:fill="auto"/>
        <w:spacing w:before="0" w:after="0"/>
        <w:ind w:left="720" w:right="40"/>
        <w:jc w:val="left"/>
      </w:pPr>
      <w:r>
        <w:t xml:space="preserve"> </w:t>
      </w:r>
      <w:r>
        <w:rPr>
          <w:lang w:val="en-US" w:eastAsia="en-US" w:bidi="en-US"/>
        </w:rPr>
        <w:t xml:space="preserve">Global Financial Stability Report. Containing Systemic Risks (April, 2011) </w:t>
      </w:r>
      <w:r>
        <w:t xml:space="preserve">[Електронний ресурс]. </w:t>
      </w:r>
      <w:r>
        <w:rPr>
          <w:lang w:val="en-US" w:eastAsia="en-US" w:bidi="en-US"/>
        </w:rPr>
        <w:t xml:space="preserve">- </w:t>
      </w:r>
      <w:r>
        <w:t xml:space="preserve">Режим доступу: </w:t>
      </w:r>
      <w:hyperlink r:id="rId7" w:history="1">
        <w:r>
          <w:rPr>
            <w:rStyle w:val="a3"/>
            <w:lang w:val="en-US" w:eastAsia="en-US" w:bidi="en-US"/>
          </w:rPr>
          <w:t>http://www.imf.org/external/pubs/ft/gfsr/2011/01/index.htm.</w:t>
        </w:r>
      </w:hyperlink>
    </w:p>
    <w:p w:rsidR="00862FF6" w:rsidRDefault="00F40C79">
      <w:pPr>
        <w:pStyle w:val="30"/>
        <w:framePr w:w="9110" w:h="11430" w:hRule="exact" w:wrap="around" w:vAnchor="page" w:hAnchor="page" w:x="1419" w:y="1720"/>
        <w:numPr>
          <w:ilvl w:val="0"/>
          <w:numId w:val="2"/>
        </w:numPr>
        <w:shd w:val="clear" w:color="auto" w:fill="auto"/>
        <w:spacing w:before="0" w:after="0"/>
        <w:ind w:left="720" w:right="40"/>
        <w:jc w:val="left"/>
      </w:pPr>
      <w:r>
        <w:t xml:space="preserve"> Мирзаян Г. Польша виросла [Електронний ресурс] / Гзворг Мирзаян. - Режим доступу: </w:t>
      </w:r>
      <w:hyperlink r:id="rId8" w:history="1">
        <w:r>
          <w:rPr>
            <w:rStyle w:val="a3"/>
            <w:lang w:val="en-US" w:eastAsia="en-US" w:bidi="en-US"/>
          </w:rPr>
          <w:t>http://www.expert.ru/countries/2012/12/polsha-vyirosla.</w:t>
        </w:r>
      </w:hyperlink>
    </w:p>
    <w:p w:rsidR="00862FF6" w:rsidRDefault="00F40C79">
      <w:pPr>
        <w:pStyle w:val="30"/>
        <w:framePr w:w="9110" w:h="11430" w:hRule="exact" w:wrap="around" w:vAnchor="page" w:hAnchor="page" w:x="1419" w:y="1720"/>
        <w:numPr>
          <w:ilvl w:val="0"/>
          <w:numId w:val="2"/>
        </w:numPr>
        <w:shd w:val="clear" w:color="auto" w:fill="auto"/>
        <w:spacing w:before="0" w:after="0"/>
        <w:ind w:left="720" w:right="40"/>
        <w:jc w:val="left"/>
      </w:pPr>
      <w:r>
        <w:t xml:space="preserve"> Навой А. Российские кризисьі образца 1998 и 2008 годов: найди 10 отличий / А. Навой // Вопросьі зкономики. - 2009. - № 2. - С. 24</w:t>
      </w:r>
      <w:r>
        <w:t>-38.</w:t>
      </w:r>
    </w:p>
    <w:p w:rsidR="00862FF6" w:rsidRDefault="00F40C79">
      <w:pPr>
        <w:pStyle w:val="30"/>
        <w:framePr w:w="9110" w:h="11430" w:hRule="exact" w:wrap="around" w:vAnchor="page" w:hAnchor="page" w:x="1419" w:y="1720"/>
        <w:numPr>
          <w:ilvl w:val="0"/>
          <w:numId w:val="2"/>
        </w:numPr>
        <w:shd w:val="clear" w:color="auto" w:fill="auto"/>
        <w:spacing w:before="0" w:after="0"/>
        <w:ind w:left="720" w:right="40"/>
        <w:jc w:val="left"/>
      </w:pPr>
      <w:r>
        <w:t xml:space="preserve"> Моргунов В. И. Основньїе аспектьі финансовой стабильности российской зкономики в 2009 году/В. И Моргунов //Деньги и кредит. - 2010. - № 4. - С. 29-41.</w:t>
      </w:r>
    </w:p>
    <w:p w:rsidR="00862FF6" w:rsidRDefault="00F40C79">
      <w:pPr>
        <w:pStyle w:val="30"/>
        <w:framePr w:w="9110" w:h="11430" w:hRule="exact" w:wrap="around" w:vAnchor="page" w:hAnchor="page" w:x="1419" w:y="1720"/>
        <w:numPr>
          <w:ilvl w:val="0"/>
          <w:numId w:val="2"/>
        </w:numPr>
        <w:shd w:val="clear" w:color="auto" w:fill="auto"/>
        <w:spacing w:before="0" w:after="0"/>
        <w:ind w:left="720" w:right="40"/>
        <w:jc w:val="left"/>
      </w:pPr>
      <w:r>
        <w:t xml:space="preserve"> Офіційний сайт Національного банку України [Електронний ресурс]. - Режим доступу: </w:t>
      </w:r>
      <w:r>
        <w:rPr>
          <w:lang w:val="en-US" w:eastAsia="en-US" w:bidi="en-US"/>
        </w:rPr>
        <w:t>http://www. bank</w:t>
      </w:r>
      <w:r>
        <w:rPr>
          <w:lang w:val="en-US" w:eastAsia="en-US" w:bidi="en-US"/>
        </w:rPr>
        <w:t>. gov. ua.</w:t>
      </w:r>
    </w:p>
    <w:p w:rsidR="00862FF6" w:rsidRDefault="00F40C79">
      <w:pPr>
        <w:pStyle w:val="30"/>
        <w:framePr w:w="9110" w:h="11430" w:hRule="exact" w:wrap="around" w:vAnchor="page" w:hAnchor="page" w:x="1419" w:y="1720"/>
        <w:numPr>
          <w:ilvl w:val="0"/>
          <w:numId w:val="2"/>
        </w:numPr>
        <w:shd w:val="clear" w:color="auto" w:fill="auto"/>
        <w:spacing w:before="0" w:after="0"/>
        <w:ind w:left="720" w:right="40"/>
        <w:jc w:val="left"/>
      </w:pPr>
      <w:r>
        <w:rPr>
          <w:lang w:val="en-US" w:eastAsia="en-US" w:bidi="en-US"/>
        </w:rPr>
        <w:t xml:space="preserve"> </w:t>
      </w:r>
      <w:r>
        <w:t xml:space="preserve">Індикатори фінансової стабільності [Електронний ресурс]. - Режим доступу : </w:t>
      </w:r>
      <w:r>
        <w:rPr>
          <w:lang w:val="en-US" w:eastAsia="en-US" w:bidi="en-US"/>
        </w:rPr>
        <w:t xml:space="preserve">http:// </w:t>
      </w:r>
      <w:hyperlink r:id="rId9" w:history="1">
        <w:r>
          <w:rPr>
            <w:rStyle w:val="a3"/>
            <w:lang w:val="en-US" w:eastAsia="en-US" w:bidi="en-US"/>
          </w:rPr>
          <w:t>www. bank. gov. ua/files/6-Banks(6/4)xls</w:t>
        </w:r>
      </w:hyperlink>
    </w:p>
    <w:p w:rsidR="00862FF6" w:rsidRDefault="00F40C79">
      <w:pPr>
        <w:pStyle w:val="a5"/>
        <w:framePr w:wrap="around" w:vAnchor="page" w:hAnchor="page" w:x="1391" w:y="15543"/>
        <w:shd w:val="clear" w:color="auto" w:fill="auto"/>
        <w:spacing w:before="0" w:line="160" w:lineRule="exact"/>
        <w:ind w:left="20"/>
      </w:pPr>
      <w:r>
        <w:rPr>
          <w:lang w:val="en-US" w:eastAsia="en-US" w:bidi="en-US"/>
        </w:rPr>
        <w:t>112</w:t>
      </w:r>
    </w:p>
    <w:p w:rsidR="00862FF6" w:rsidRDefault="00F40C79">
      <w:pPr>
        <w:pStyle w:val="32"/>
        <w:framePr w:wrap="around" w:vAnchor="page" w:hAnchor="page" w:x="8312" w:y="15543"/>
        <w:shd w:val="clear" w:color="auto" w:fill="auto"/>
        <w:spacing w:line="130" w:lineRule="exact"/>
        <w:ind w:left="20"/>
      </w:pPr>
      <w:r>
        <w:t xml:space="preserve">Наука молода </w:t>
      </w:r>
      <w:r>
        <w:rPr>
          <w:lang w:val="en-US" w:eastAsia="en-US" w:bidi="en-US"/>
        </w:rPr>
        <w:t>№ 19, 2013 p.</w:t>
      </w:r>
    </w:p>
    <w:p w:rsidR="00862FF6" w:rsidRDefault="00862FF6">
      <w:pPr>
        <w:rPr>
          <w:sz w:val="2"/>
          <w:szCs w:val="2"/>
        </w:rPr>
      </w:pPr>
    </w:p>
    <w:sectPr w:rsidR="00862FF6" w:rsidSect="00862FF6">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C79" w:rsidRDefault="00F40C79" w:rsidP="00862FF6">
      <w:r>
        <w:separator/>
      </w:r>
    </w:p>
  </w:endnote>
  <w:endnote w:type="continuationSeparator" w:id="1">
    <w:p w:rsidR="00F40C79" w:rsidRDefault="00F40C79" w:rsidP="00862F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C79" w:rsidRDefault="00F40C79"/>
  </w:footnote>
  <w:footnote w:type="continuationSeparator" w:id="1">
    <w:p w:rsidR="00F40C79" w:rsidRDefault="00F40C7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0111"/>
    <w:multiLevelType w:val="multilevel"/>
    <w:tmpl w:val="38C89A7E"/>
    <w:lvl w:ilvl="0">
      <w:start w:val="3"/>
      <w:numFmt w:val="decimal"/>
      <w:lvlText w:val="%1"/>
      <w:lvlJc w:val="left"/>
      <w:rPr>
        <w:rFonts w:ascii="Arial" w:eastAsia="Arial" w:hAnsi="Arial" w:cs="Arial"/>
        <w:b w:val="0"/>
        <w:bCs w:val="0"/>
        <w:i w:val="0"/>
        <w:iCs w:val="0"/>
        <w:smallCaps w:val="0"/>
        <w:strike w:val="0"/>
        <w:color w:val="000000"/>
        <w:spacing w:val="3"/>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9F4E07"/>
    <w:multiLevelType w:val="multilevel"/>
    <w:tmpl w:val="52086668"/>
    <w:lvl w:ilvl="0">
      <w:start w:val="1"/>
      <w:numFmt w:val="decimal"/>
      <w:lvlText w:val="%1."/>
      <w:lvlJc w:val="left"/>
      <w:rPr>
        <w:rFonts w:ascii="Arial" w:eastAsia="Arial" w:hAnsi="Arial" w:cs="Arial"/>
        <w:b w:val="0"/>
        <w:bCs w:val="0"/>
        <w:i/>
        <w:iCs/>
        <w:smallCaps w:val="0"/>
        <w:strike w:val="0"/>
        <w:color w:val="000000"/>
        <w:spacing w:val="-2"/>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62FF6"/>
    <w:rsid w:val="00862FF6"/>
    <w:rsid w:val="008966C5"/>
    <w:rsid w:val="00F40C7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2FF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62FF6"/>
    <w:rPr>
      <w:color w:val="0066CC"/>
      <w:u w:val="single"/>
    </w:rPr>
  </w:style>
  <w:style w:type="character" w:customStyle="1" w:styleId="2">
    <w:name w:val="Колонтитул (2)_"/>
    <w:basedOn w:val="a0"/>
    <w:link w:val="20"/>
    <w:rsid w:val="00862FF6"/>
    <w:rPr>
      <w:rFonts w:ascii="Sylfaen" w:eastAsia="Sylfaen" w:hAnsi="Sylfaen" w:cs="Sylfaen"/>
      <w:b w:val="0"/>
      <w:bCs w:val="0"/>
      <w:i w:val="0"/>
      <w:iCs w:val="0"/>
      <w:smallCaps w:val="0"/>
      <w:strike w:val="0"/>
      <w:spacing w:val="2"/>
      <w:sz w:val="15"/>
      <w:szCs w:val="15"/>
      <w:u w:val="none"/>
    </w:rPr>
  </w:style>
  <w:style w:type="character" w:customStyle="1" w:styleId="a4">
    <w:name w:val="Колонтитул_"/>
    <w:basedOn w:val="a0"/>
    <w:link w:val="a5"/>
    <w:rsid w:val="00862FF6"/>
    <w:rPr>
      <w:rFonts w:ascii="Arial" w:eastAsia="Arial" w:hAnsi="Arial" w:cs="Arial"/>
      <w:b/>
      <w:bCs/>
      <w:i w:val="0"/>
      <w:iCs w:val="0"/>
      <w:smallCaps w:val="0"/>
      <w:strike w:val="0"/>
      <w:spacing w:val="4"/>
      <w:sz w:val="16"/>
      <w:szCs w:val="16"/>
      <w:u w:val="none"/>
    </w:rPr>
  </w:style>
  <w:style w:type="character" w:customStyle="1" w:styleId="21">
    <w:name w:val="Заголовок №2_"/>
    <w:basedOn w:val="a0"/>
    <w:link w:val="22"/>
    <w:rsid w:val="00862FF6"/>
    <w:rPr>
      <w:rFonts w:ascii="Arial" w:eastAsia="Arial" w:hAnsi="Arial" w:cs="Arial"/>
      <w:b/>
      <w:bCs/>
      <w:i/>
      <w:iCs/>
      <w:smallCaps w:val="0"/>
      <w:strike w:val="0"/>
      <w:spacing w:val="-3"/>
      <w:sz w:val="18"/>
      <w:szCs w:val="18"/>
      <w:u w:val="none"/>
    </w:rPr>
  </w:style>
  <w:style w:type="character" w:customStyle="1" w:styleId="23">
    <w:name w:val="Основний текст (2)_"/>
    <w:basedOn w:val="a0"/>
    <w:link w:val="24"/>
    <w:rsid w:val="00862FF6"/>
    <w:rPr>
      <w:rFonts w:ascii="Sylfaen" w:eastAsia="Sylfaen" w:hAnsi="Sylfaen" w:cs="Sylfaen"/>
      <w:b/>
      <w:bCs/>
      <w:i w:val="0"/>
      <w:iCs w:val="0"/>
      <w:smallCaps w:val="0"/>
      <w:strike w:val="0"/>
      <w:spacing w:val="1"/>
      <w:sz w:val="22"/>
      <w:szCs w:val="22"/>
      <w:u w:val="none"/>
    </w:rPr>
  </w:style>
  <w:style w:type="character" w:customStyle="1" w:styleId="3">
    <w:name w:val="Основний текст (3)_"/>
    <w:basedOn w:val="a0"/>
    <w:link w:val="30"/>
    <w:rsid w:val="00862FF6"/>
    <w:rPr>
      <w:rFonts w:ascii="Arial" w:eastAsia="Arial" w:hAnsi="Arial" w:cs="Arial"/>
      <w:b w:val="0"/>
      <w:bCs w:val="0"/>
      <w:i/>
      <w:iCs/>
      <w:smallCaps w:val="0"/>
      <w:strike w:val="0"/>
      <w:spacing w:val="-2"/>
      <w:sz w:val="16"/>
      <w:szCs w:val="16"/>
      <w:u w:val="none"/>
    </w:rPr>
  </w:style>
  <w:style w:type="character" w:customStyle="1" w:styleId="30pt">
    <w:name w:val="Основний текст (3) + Не курсив;Інтервал 0 pt"/>
    <w:basedOn w:val="3"/>
    <w:rsid w:val="00862FF6"/>
    <w:rPr>
      <w:i/>
      <w:iCs/>
      <w:color w:val="000000"/>
      <w:spacing w:val="3"/>
      <w:w w:val="100"/>
      <w:position w:val="0"/>
      <w:lang w:val="uk-UA" w:eastAsia="uk-UA" w:bidi="uk-UA"/>
    </w:rPr>
  </w:style>
  <w:style w:type="character" w:customStyle="1" w:styleId="a6">
    <w:name w:val="Основний текст_"/>
    <w:basedOn w:val="a0"/>
    <w:link w:val="a7"/>
    <w:rsid w:val="00862FF6"/>
    <w:rPr>
      <w:rFonts w:ascii="Arial" w:eastAsia="Arial" w:hAnsi="Arial" w:cs="Arial"/>
      <w:b w:val="0"/>
      <w:bCs w:val="0"/>
      <w:i w:val="0"/>
      <w:iCs w:val="0"/>
      <w:smallCaps w:val="0"/>
      <w:strike w:val="0"/>
      <w:spacing w:val="3"/>
      <w:sz w:val="16"/>
      <w:szCs w:val="16"/>
      <w:u w:val="none"/>
    </w:rPr>
  </w:style>
  <w:style w:type="character" w:customStyle="1" w:styleId="4">
    <w:name w:val="Основний текст (4)_"/>
    <w:basedOn w:val="a0"/>
    <w:link w:val="40"/>
    <w:rsid w:val="00862FF6"/>
    <w:rPr>
      <w:rFonts w:ascii="Sylfaen" w:eastAsia="Sylfaen" w:hAnsi="Sylfaen" w:cs="Sylfaen"/>
      <w:b w:val="0"/>
      <w:bCs w:val="0"/>
      <w:i w:val="0"/>
      <w:iCs w:val="0"/>
      <w:smallCaps w:val="0"/>
      <w:strike w:val="0"/>
      <w:spacing w:val="1"/>
      <w:sz w:val="14"/>
      <w:szCs w:val="14"/>
      <w:u w:val="none"/>
    </w:rPr>
  </w:style>
  <w:style w:type="character" w:customStyle="1" w:styleId="31">
    <w:name w:val="Колонтитул (3)_"/>
    <w:basedOn w:val="a0"/>
    <w:link w:val="32"/>
    <w:rsid w:val="00862FF6"/>
    <w:rPr>
      <w:rFonts w:ascii="Arial" w:eastAsia="Arial" w:hAnsi="Arial" w:cs="Arial"/>
      <w:b w:val="0"/>
      <w:bCs w:val="0"/>
      <w:i w:val="0"/>
      <w:iCs w:val="0"/>
      <w:smallCaps w:val="0"/>
      <w:strike w:val="0"/>
      <w:spacing w:val="3"/>
      <w:sz w:val="13"/>
      <w:szCs w:val="13"/>
      <w:u w:val="none"/>
    </w:rPr>
  </w:style>
  <w:style w:type="character" w:customStyle="1" w:styleId="a8">
    <w:name w:val="Підпис до таблиці_"/>
    <w:basedOn w:val="a0"/>
    <w:link w:val="a9"/>
    <w:rsid w:val="00862FF6"/>
    <w:rPr>
      <w:rFonts w:ascii="Arial" w:eastAsia="Arial" w:hAnsi="Arial" w:cs="Arial"/>
      <w:b w:val="0"/>
      <w:bCs w:val="0"/>
      <w:i/>
      <w:iCs/>
      <w:smallCaps w:val="0"/>
      <w:strike w:val="0"/>
      <w:spacing w:val="-2"/>
      <w:sz w:val="16"/>
      <w:szCs w:val="16"/>
      <w:u w:val="none"/>
    </w:rPr>
  </w:style>
  <w:style w:type="character" w:customStyle="1" w:styleId="75pt0pt">
    <w:name w:val="Основний текст + 7;5 pt;Напівжирний;Інтервал 0 pt"/>
    <w:basedOn w:val="a6"/>
    <w:rsid w:val="00862FF6"/>
    <w:rPr>
      <w:b/>
      <w:bCs/>
      <w:color w:val="000000"/>
      <w:spacing w:val="1"/>
      <w:w w:val="100"/>
      <w:position w:val="0"/>
      <w:sz w:val="15"/>
      <w:szCs w:val="15"/>
      <w:lang w:val="uk-UA" w:eastAsia="uk-UA" w:bidi="uk-UA"/>
    </w:rPr>
  </w:style>
  <w:style w:type="character" w:customStyle="1" w:styleId="75pt0pt0">
    <w:name w:val="Основний текст + 7;5 pt;Інтервал 0 pt"/>
    <w:basedOn w:val="a6"/>
    <w:rsid w:val="00862FF6"/>
    <w:rPr>
      <w:color w:val="000000"/>
      <w:spacing w:val="8"/>
      <w:w w:val="100"/>
      <w:position w:val="0"/>
      <w:sz w:val="15"/>
      <w:szCs w:val="15"/>
      <w:lang w:val="uk-UA" w:eastAsia="uk-UA" w:bidi="uk-UA"/>
    </w:rPr>
  </w:style>
  <w:style w:type="character" w:customStyle="1" w:styleId="0pt">
    <w:name w:val="Основний текст + Курсив;Інтервал 0 pt"/>
    <w:basedOn w:val="a6"/>
    <w:rsid w:val="00862FF6"/>
    <w:rPr>
      <w:i/>
      <w:iCs/>
      <w:color w:val="000000"/>
      <w:spacing w:val="-2"/>
      <w:w w:val="100"/>
      <w:position w:val="0"/>
      <w:lang w:val="en-US" w:eastAsia="en-US" w:bidi="en-US"/>
    </w:rPr>
  </w:style>
  <w:style w:type="character" w:customStyle="1" w:styleId="5">
    <w:name w:val="Основний текст (5)_"/>
    <w:basedOn w:val="a0"/>
    <w:link w:val="50"/>
    <w:rsid w:val="00862FF6"/>
    <w:rPr>
      <w:rFonts w:ascii="Arial" w:eastAsia="Arial" w:hAnsi="Arial" w:cs="Arial"/>
      <w:b/>
      <w:bCs/>
      <w:i w:val="0"/>
      <w:iCs w:val="0"/>
      <w:smallCaps w:val="0"/>
      <w:strike w:val="0"/>
      <w:spacing w:val="4"/>
      <w:sz w:val="16"/>
      <w:szCs w:val="16"/>
      <w:u w:val="none"/>
    </w:rPr>
  </w:style>
  <w:style w:type="character" w:customStyle="1" w:styleId="50pt">
    <w:name w:val="Основний текст (5) + Не напівжирний;Інтервал 0 pt"/>
    <w:basedOn w:val="5"/>
    <w:rsid w:val="00862FF6"/>
    <w:rPr>
      <w:b/>
      <w:bCs/>
      <w:color w:val="000000"/>
      <w:spacing w:val="3"/>
      <w:w w:val="100"/>
      <w:position w:val="0"/>
      <w:lang w:val="uk-UA" w:eastAsia="uk-UA" w:bidi="uk-UA"/>
    </w:rPr>
  </w:style>
  <w:style w:type="character" w:customStyle="1" w:styleId="6pt0pt">
    <w:name w:val="Основний текст + 6 pt;Інтервал 0 pt"/>
    <w:basedOn w:val="a6"/>
    <w:rsid w:val="00862FF6"/>
    <w:rPr>
      <w:color w:val="000000"/>
      <w:spacing w:val="4"/>
      <w:w w:val="100"/>
      <w:position w:val="0"/>
      <w:sz w:val="12"/>
      <w:szCs w:val="12"/>
      <w:lang w:val="uk-UA" w:eastAsia="uk-UA" w:bidi="uk-UA"/>
    </w:rPr>
  </w:style>
  <w:style w:type="character" w:customStyle="1" w:styleId="ArialUnicodeMS7pt0pt">
    <w:name w:val="Основний текст + Arial Unicode MS;7 pt;Курсив;Інтервал 0 pt"/>
    <w:basedOn w:val="a6"/>
    <w:rsid w:val="00862FF6"/>
    <w:rPr>
      <w:rFonts w:ascii="Arial Unicode MS" w:eastAsia="Arial Unicode MS" w:hAnsi="Arial Unicode MS" w:cs="Arial Unicode MS"/>
      <w:i/>
      <w:iCs/>
      <w:color w:val="000000"/>
      <w:spacing w:val="0"/>
      <w:w w:val="100"/>
      <w:position w:val="0"/>
      <w:sz w:val="14"/>
      <w:szCs w:val="14"/>
      <w:lang w:val="uk-UA" w:eastAsia="uk-UA" w:bidi="uk-UA"/>
    </w:rPr>
  </w:style>
  <w:style w:type="character" w:customStyle="1" w:styleId="Garamond6pt0pt">
    <w:name w:val="Основний текст + Garamond;6 pt;Курсив;Інтервал 0 pt"/>
    <w:basedOn w:val="a6"/>
    <w:rsid w:val="00862FF6"/>
    <w:rPr>
      <w:rFonts w:ascii="Garamond" w:eastAsia="Garamond" w:hAnsi="Garamond" w:cs="Garamond"/>
      <w:i/>
      <w:iCs/>
      <w:color w:val="000000"/>
      <w:spacing w:val="0"/>
      <w:w w:val="100"/>
      <w:position w:val="0"/>
      <w:sz w:val="12"/>
      <w:szCs w:val="12"/>
      <w:lang w:val="uk-UA" w:eastAsia="uk-UA" w:bidi="uk-UA"/>
    </w:rPr>
  </w:style>
  <w:style w:type="character" w:customStyle="1" w:styleId="Sylfaen55pt0pt">
    <w:name w:val="Основний текст + Sylfaen;5;5 pt;Інтервал 0 pt"/>
    <w:basedOn w:val="a6"/>
    <w:rsid w:val="00862FF6"/>
    <w:rPr>
      <w:rFonts w:ascii="Sylfaen" w:eastAsia="Sylfaen" w:hAnsi="Sylfaen" w:cs="Sylfaen"/>
      <w:color w:val="000000"/>
      <w:spacing w:val="0"/>
      <w:w w:val="100"/>
      <w:position w:val="0"/>
      <w:sz w:val="11"/>
      <w:szCs w:val="11"/>
      <w:lang w:val="uk-UA" w:eastAsia="uk-UA" w:bidi="uk-UA"/>
    </w:rPr>
  </w:style>
  <w:style w:type="character" w:customStyle="1" w:styleId="5pt0pt">
    <w:name w:val="Основний текст + 5 pt;Інтервал 0 pt"/>
    <w:basedOn w:val="a6"/>
    <w:rsid w:val="00862FF6"/>
    <w:rPr>
      <w:color w:val="000000"/>
      <w:spacing w:val="-9"/>
      <w:w w:val="100"/>
      <w:position w:val="0"/>
      <w:sz w:val="10"/>
      <w:szCs w:val="10"/>
      <w:lang w:val="uk-UA" w:eastAsia="uk-UA" w:bidi="uk-UA"/>
    </w:rPr>
  </w:style>
  <w:style w:type="character" w:customStyle="1" w:styleId="ArialUnicodeMS5pt0pt">
    <w:name w:val="Основний текст + Arial Unicode MS;5 pt;Курсив;Інтервал 0 pt"/>
    <w:basedOn w:val="a6"/>
    <w:rsid w:val="00862FF6"/>
    <w:rPr>
      <w:rFonts w:ascii="Arial Unicode MS" w:eastAsia="Arial Unicode MS" w:hAnsi="Arial Unicode MS" w:cs="Arial Unicode MS"/>
      <w:i/>
      <w:iCs/>
      <w:color w:val="000000"/>
      <w:spacing w:val="-4"/>
      <w:w w:val="100"/>
      <w:position w:val="0"/>
      <w:sz w:val="10"/>
      <w:szCs w:val="10"/>
      <w:lang w:val="en-US" w:eastAsia="en-US" w:bidi="en-US"/>
    </w:rPr>
  </w:style>
  <w:style w:type="character" w:customStyle="1" w:styleId="0pt0">
    <w:name w:val="Основний текст + Інтервал 0 pt"/>
    <w:basedOn w:val="a6"/>
    <w:rsid w:val="00862FF6"/>
    <w:rPr>
      <w:color w:val="000000"/>
      <w:spacing w:val="0"/>
      <w:w w:val="100"/>
      <w:position w:val="0"/>
      <w:lang w:val="uk-UA" w:eastAsia="uk-UA" w:bidi="uk-UA"/>
    </w:rPr>
  </w:style>
  <w:style w:type="character" w:customStyle="1" w:styleId="5pt0pt0">
    <w:name w:val="Основний текст + 5 pt;Інтервал 0 pt"/>
    <w:basedOn w:val="a6"/>
    <w:rsid w:val="00862FF6"/>
    <w:rPr>
      <w:color w:val="000000"/>
      <w:spacing w:val="0"/>
      <w:w w:val="100"/>
      <w:position w:val="0"/>
      <w:sz w:val="10"/>
      <w:szCs w:val="10"/>
      <w:lang w:val="en-US" w:eastAsia="en-US" w:bidi="en-US"/>
    </w:rPr>
  </w:style>
  <w:style w:type="character" w:customStyle="1" w:styleId="ArialUnicodeMS6pt0pt">
    <w:name w:val="Основний текст + Arial Unicode MS;6 pt;Курсив;Інтервал 0 pt"/>
    <w:basedOn w:val="a6"/>
    <w:rsid w:val="00862FF6"/>
    <w:rPr>
      <w:rFonts w:ascii="Arial Unicode MS" w:eastAsia="Arial Unicode MS" w:hAnsi="Arial Unicode MS" w:cs="Arial Unicode MS"/>
      <w:i/>
      <w:iCs/>
      <w:color w:val="000000"/>
      <w:spacing w:val="1"/>
      <w:w w:val="100"/>
      <w:position w:val="0"/>
      <w:sz w:val="12"/>
      <w:szCs w:val="12"/>
      <w:lang w:val="uk-UA" w:eastAsia="uk-UA" w:bidi="uk-UA"/>
    </w:rPr>
  </w:style>
  <w:style w:type="character" w:customStyle="1" w:styleId="aa">
    <w:name w:val="Основний текст + Малі великі літери"/>
    <w:basedOn w:val="a6"/>
    <w:rsid w:val="00862FF6"/>
    <w:rPr>
      <w:smallCaps/>
      <w:color w:val="000000"/>
      <w:w w:val="100"/>
      <w:position w:val="0"/>
      <w:lang w:val="en-US" w:eastAsia="en-US" w:bidi="en-US"/>
    </w:rPr>
  </w:style>
  <w:style w:type="character" w:customStyle="1" w:styleId="ArialUnicodeMS6pt0pt0">
    <w:name w:val="Основний текст + Arial Unicode MS;6 pt;Курсив;Інтервал 0 pt"/>
    <w:basedOn w:val="a6"/>
    <w:rsid w:val="00862FF6"/>
    <w:rPr>
      <w:rFonts w:ascii="Arial Unicode MS" w:eastAsia="Arial Unicode MS" w:hAnsi="Arial Unicode MS" w:cs="Arial Unicode MS"/>
      <w:i/>
      <w:iCs/>
      <w:color w:val="000000"/>
      <w:spacing w:val="5"/>
      <w:w w:val="100"/>
      <w:position w:val="0"/>
      <w:sz w:val="12"/>
      <w:szCs w:val="12"/>
      <w:lang w:val="en-US" w:eastAsia="en-US" w:bidi="en-US"/>
    </w:rPr>
  </w:style>
  <w:style w:type="character" w:customStyle="1" w:styleId="5pt">
    <w:name w:val="Основний текст + 5 pt"/>
    <w:basedOn w:val="a6"/>
    <w:rsid w:val="00862FF6"/>
    <w:rPr>
      <w:color w:val="000000"/>
      <w:w w:val="100"/>
      <w:position w:val="0"/>
      <w:sz w:val="10"/>
      <w:szCs w:val="10"/>
      <w:lang w:val="uk-UA" w:eastAsia="uk-UA" w:bidi="uk-UA"/>
    </w:rPr>
  </w:style>
  <w:style w:type="character" w:customStyle="1" w:styleId="1">
    <w:name w:val="Заголовок №1_"/>
    <w:basedOn w:val="a0"/>
    <w:link w:val="10"/>
    <w:rsid w:val="00862FF6"/>
    <w:rPr>
      <w:rFonts w:ascii="Arial" w:eastAsia="Arial" w:hAnsi="Arial" w:cs="Arial"/>
      <w:b/>
      <w:bCs/>
      <w:i/>
      <w:iCs/>
      <w:smallCaps w:val="0"/>
      <w:strike w:val="0"/>
      <w:spacing w:val="-3"/>
      <w:sz w:val="18"/>
      <w:szCs w:val="18"/>
      <w:u w:val="none"/>
    </w:rPr>
  </w:style>
  <w:style w:type="paragraph" w:customStyle="1" w:styleId="20">
    <w:name w:val="Колонтитул (2)"/>
    <w:basedOn w:val="a"/>
    <w:link w:val="2"/>
    <w:rsid w:val="00862FF6"/>
    <w:pPr>
      <w:shd w:val="clear" w:color="auto" w:fill="FFFFFF"/>
      <w:spacing w:after="60" w:line="0" w:lineRule="atLeast"/>
    </w:pPr>
    <w:rPr>
      <w:rFonts w:ascii="Sylfaen" w:eastAsia="Sylfaen" w:hAnsi="Sylfaen" w:cs="Sylfaen"/>
      <w:spacing w:val="2"/>
      <w:sz w:val="15"/>
      <w:szCs w:val="15"/>
    </w:rPr>
  </w:style>
  <w:style w:type="paragraph" w:customStyle="1" w:styleId="a5">
    <w:name w:val="Колонтитул"/>
    <w:basedOn w:val="a"/>
    <w:link w:val="a4"/>
    <w:rsid w:val="00862FF6"/>
    <w:pPr>
      <w:shd w:val="clear" w:color="auto" w:fill="FFFFFF"/>
      <w:spacing w:before="60" w:line="0" w:lineRule="atLeast"/>
    </w:pPr>
    <w:rPr>
      <w:rFonts w:ascii="Arial" w:eastAsia="Arial" w:hAnsi="Arial" w:cs="Arial"/>
      <w:b/>
      <w:bCs/>
      <w:spacing w:val="4"/>
      <w:sz w:val="16"/>
      <w:szCs w:val="16"/>
    </w:rPr>
  </w:style>
  <w:style w:type="paragraph" w:customStyle="1" w:styleId="22">
    <w:name w:val="Заголовок №2"/>
    <w:basedOn w:val="a"/>
    <w:link w:val="21"/>
    <w:rsid w:val="00862FF6"/>
    <w:pPr>
      <w:shd w:val="clear" w:color="auto" w:fill="FFFFFF"/>
      <w:spacing w:after="480" w:line="0" w:lineRule="atLeast"/>
      <w:jc w:val="right"/>
      <w:outlineLvl w:val="1"/>
    </w:pPr>
    <w:rPr>
      <w:rFonts w:ascii="Arial" w:eastAsia="Arial" w:hAnsi="Arial" w:cs="Arial"/>
      <w:b/>
      <w:bCs/>
      <w:i/>
      <w:iCs/>
      <w:spacing w:val="-3"/>
      <w:sz w:val="18"/>
      <w:szCs w:val="18"/>
    </w:rPr>
  </w:style>
  <w:style w:type="paragraph" w:customStyle="1" w:styleId="24">
    <w:name w:val="Основний текст (2)"/>
    <w:basedOn w:val="a"/>
    <w:link w:val="23"/>
    <w:rsid w:val="00862FF6"/>
    <w:pPr>
      <w:shd w:val="clear" w:color="auto" w:fill="FFFFFF"/>
      <w:spacing w:before="480" w:after="180" w:line="302" w:lineRule="exact"/>
      <w:jc w:val="center"/>
    </w:pPr>
    <w:rPr>
      <w:rFonts w:ascii="Sylfaen" w:eastAsia="Sylfaen" w:hAnsi="Sylfaen" w:cs="Sylfaen"/>
      <w:b/>
      <w:bCs/>
      <w:spacing w:val="1"/>
      <w:sz w:val="22"/>
      <w:szCs w:val="22"/>
    </w:rPr>
  </w:style>
  <w:style w:type="paragraph" w:customStyle="1" w:styleId="30">
    <w:name w:val="Основний текст (3)"/>
    <w:basedOn w:val="a"/>
    <w:link w:val="3"/>
    <w:rsid w:val="00862FF6"/>
    <w:pPr>
      <w:shd w:val="clear" w:color="auto" w:fill="FFFFFF"/>
      <w:spacing w:before="180" w:after="180" w:line="250" w:lineRule="exact"/>
      <w:ind w:hanging="400"/>
      <w:jc w:val="both"/>
    </w:pPr>
    <w:rPr>
      <w:rFonts w:ascii="Arial" w:eastAsia="Arial" w:hAnsi="Arial" w:cs="Arial"/>
      <w:i/>
      <w:iCs/>
      <w:spacing w:val="-2"/>
      <w:sz w:val="16"/>
      <w:szCs w:val="16"/>
    </w:rPr>
  </w:style>
  <w:style w:type="paragraph" w:customStyle="1" w:styleId="a7">
    <w:name w:val="Основний текст"/>
    <w:basedOn w:val="a"/>
    <w:link w:val="a6"/>
    <w:rsid w:val="00862FF6"/>
    <w:pPr>
      <w:shd w:val="clear" w:color="auto" w:fill="FFFFFF"/>
      <w:spacing w:before="180" w:line="250" w:lineRule="exact"/>
      <w:jc w:val="both"/>
    </w:pPr>
    <w:rPr>
      <w:rFonts w:ascii="Arial" w:eastAsia="Arial" w:hAnsi="Arial" w:cs="Arial"/>
      <w:spacing w:val="3"/>
      <w:sz w:val="16"/>
      <w:szCs w:val="16"/>
    </w:rPr>
  </w:style>
  <w:style w:type="paragraph" w:customStyle="1" w:styleId="40">
    <w:name w:val="Основний текст (4)"/>
    <w:basedOn w:val="a"/>
    <w:link w:val="4"/>
    <w:rsid w:val="00862FF6"/>
    <w:pPr>
      <w:shd w:val="clear" w:color="auto" w:fill="FFFFFF"/>
      <w:spacing w:before="180" w:line="0" w:lineRule="atLeast"/>
    </w:pPr>
    <w:rPr>
      <w:rFonts w:ascii="Sylfaen" w:eastAsia="Sylfaen" w:hAnsi="Sylfaen" w:cs="Sylfaen"/>
      <w:spacing w:val="1"/>
      <w:sz w:val="14"/>
      <w:szCs w:val="14"/>
    </w:rPr>
  </w:style>
  <w:style w:type="paragraph" w:customStyle="1" w:styleId="32">
    <w:name w:val="Колонтитул (3)"/>
    <w:basedOn w:val="a"/>
    <w:link w:val="31"/>
    <w:rsid w:val="00862FF6"/>
    <w:pPr>
      <w:shd w:val="clear" w:color="auto" w:fill="FFFFFF"/>
      <w:spacing w:line="0" w:lineRule="atLeast"/>
    </w:pPr>
    <w:rPr>
      <w:rFonts w:ascii="Arial" w:eastAsia="Arial" w:hAnsi="Arial" w:cs="Arial"/>
      <w:spacing w:val="3"/>
      <w:sz w:val="13"/>
      <w:szCs w:val="13"/>
    </w:rPr>
  </w:style>
  <w:style w:type="paragraph" w:customStyle="1" w:styleId="a9">
    <w:name w:val="Підпис до таблиці"/>
    <w:basedOn w:val="a"/>
    <w:link w:val="a8"/>
    <w:rsid w:val="00862FF6"/>
    <w:pPr>
      <w:shd w:val="clear" w:color="auto" w:fill="FFFFFF"/>
      <w:spacing w:line="0" w:lineRule="atLeast"/>
    </w:pPr>
    <w:rPr>
      <w:rFonts w:ascii="Arial" w:eastAsia="Arial" w:hAnsi="Arial" w:cs="Arial"/>
      <w:i/>
      <w:iCs/>
      <w:spacing w:val="-2"/>
      <w:sz w:val="16"/>
      <w:szCs w:val="16"/>
    </w:rPr>
  </w:style>
  <w:style w:type="paragraph" w:customStyle="1" w:styleId="50">
    <w:name w:val="Основний текст (5)"/>
    <w:basedOn w:val="a"/>
    <w:link w:val="5"/>
    <w:rsid w:val="00862FF6"/>
    <w:pPr>
      <w:shd w:val="clear" w:color="auto" w:fill="FFFFFF"/>
      <w:spacing w:before="180" w:after="180" w:line="250" w:lineRule="exact"/>
      <w:jc w:val="center"/>
    </w:pPr>
    <w:rPr>
      <w:rFonts w:ascii="Arial" w:eastAsia="Arial" w:hAnsi="Arial" w:cs="Arial"/>
      <w:b/>
      <w:bCs/>
      <w:spacing w:val="4"/>
      <w:sz w:val="16"/>
      <w:szCs w:val="16"/>
    </w:rPr>
  </w:style>
  <w:style w:type="paragraph" w:customStyle="1" w:styleId="10">
    <w:name w:val="Заголовок №1"/>
    <w:basedOn w:val="a"/>
    <w:link w:val="1"/>
    <w:rsid w:val="00862FF6"/>
    <w:pPr>
      <w:shd w:val="clear" w:color="auto" w:fill="FFFFFF"/>
      <w:spacing w:before="180" w:after="180" w:line="0" w:lineRule="atLeast"/>
      <w:jc w:val="center"/>
      <w:outlineLvl w:val="0"/>
    </w:pPr>
    <w:rPr>
      <w:rFonts w:ascii="Arial" w:eastAsia="Arial" w:hAnsi="Arial" w:cs="Arial"/>
      <w:b/>
      <w:bCs/>
      <w:i/>
      <w:iCs/>
      <w:spacing w:val="-3"/>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t.ru/countries/2012/12/polsha-vyirosla." TargetMode="External"/><Relationship Id="rId3" Type="http://schemas.openxmlformats.org/officeDocument/2006/relationships/settings" Target="settings.xml"/><Relationship Id="rId7" Type="http://schemas.openxmlformats.org/officeDocument/2006/relationships/hyperlink" Target="http://www.imf.org/external/pubs/ft/gfsr/2011/01/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nk.gov.ua/files/6-Banks(6/4)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18742</Words>
  <Characters>10684</Characters>
  <Application>Microsoft Office Word</Application>
  <DocSecurity>0</DocSecurity>
  <Lines>89</Lines>
  <Paragraphs>58</Paragraphs>
  <ScaleCrop>false</ScaleCrop>
  <Company>Microsoft</Company>
  <LinksUpToDate>false</LinksUpToDate>
  <CharactersWithSpaces>29368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2017-06-14T09:29:00Z</dcterms:created>
  <dcterms:modified xsi:type="dcterms:W3CDTF">2017-06-14T09:29:00Z</dcterms:modified>
</cp:coreProperties>
</file>