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41" w:rsidRDefault="00653561">
      <w:pPr>
        <w:pStyle w:val="a5"/>
        <w:framePr w:wrap="around" w:vAnchor="page" w:hAnchor="page" w:x="5262" w:y="1309"/>
        <w:shd w:val="clear" w:color="auto" w:fill="auto"/>
        <w:spacing w:line="170" w:lineRule="exact"/>
        <w:ind w:left="20"/>
      </w:pPr>
      <w:r>
        <w:t>Перспективи розвитку фінансово-кредитної системи</w:t>
      </w:r>
    </w:p>
    <w:p w:rsidR="00916841" w:rsidRDefault="00653561">
      <w:pPr>
        <w:pStyle w:val="10"/>
        <w:framePr w:w="9101" w:h="12922" w:hRule="exact" w:wrap="around" w:vAnchor="page" w:hAnchor="page" w:x="1422" w:y="2259"/>
        <w:shd w:val="clear" w:color="auto" w:fill="auto"/>
        <w:spacing w:after="510"/>
        <w:ind w:left="20"/>
      </w:pPr>
      <w:bookmarkStart w:id="0" w:name="bookmark0"/>
      <w:r>
        <w:t>ПЕРСПЕКТИВИ РОЗВИТКУ ФІНАНСОВО-КРЕДИТНОЇ СИСТЕМИ</w:t>
      </w:r>
      <w:bookmarkEnd w:id="0"/>
    </w:p>
    <w:p w:rsidR="00916841" w:rsidRDefault="00653561">
      <w:pPr>
        <w:pStyle w:val="20"/>
        <w:framePr w:w="9101" w:h="12922" w:hRule="exact" w:wrap="around" w:vAnchor="page" w:hAnchor="page" w:x="1422" w:y="2259"/>
        <w:shd w:val="clear" w:color="auto" w:fill="auto"/>
        <w:spacing w:before="0" w:after="484" w:line="170" w:lineRule="exact"/>
        <w:ind w:right="40"/>
      </w:pPr>
      <w:r>
        <w:t>Богдан АДАМИК, Андрій СКІРКА</w:t>
      </w:r>
    </w:p>
    <w:p w:rsidR="00916841" w:rsidRDefault="00653561">
      <w:pPr>
        <w:pStyle w:val="22"/>
        <w:framePr w:w="9101" w:h="12922" w:hRule="exact" w:wrap="around" w:vAnchor="page" w:hAnchor="page" w:x="1422" w:y="2259"/>
        <w:shd w:val="clear" w:color="auto" w:fill="auto"/>
        <w:spacing w:before="0" w:after="202" w:line="210" w:lineRule="exact"/>
        <w:ind w:left="20"/>
      </w:pPr>
      <w:bookmarkStart w:id="1" w:name="bookmark1"/>
      <w:r>
        <w:t>АНАЛІЗ ВПЛИВУ ВАЛЮТНОЇ ПОЛІТИКИ НАЦІОНАЛЬНОГО БАНКУ НА ЕКОНОМІКУ УКРАЇНИ</w:t>
      </w:r>
      <w:bookmarkEnd w:id="1"/>
    </w:p>
    <w:p w:rsidR="00916841" w:rsidRDefault="00653561">
      <w:pPr>
        <w:pStyle w:val="30"/>
        <w:framePr w:w="9101" w:h="12922" w:hRule="exact" w:wrap="around" w:vAnchor="page" w:hAnchor="page" w:x="1422" w:y="2259"/>
        <w:shd w:val="clear" w:color="auto" w:fill="auto"/>
        <w:spacing w:before="0"/>
        <w:ind w:left="20" w:right="40" w:firstLine="280"/>
      </w:pPr>
      <w:r>
        <w:t xml:space="preserve">Досліджено сучасний стан регулювання Національним </w:t>
      </w:r>
      <w:r>
        <w:t>банком валютного ринку. Проаналізо</w:t>
      </w:r>
      <w:r>
        <w:softHyphen/>
        <w:t>вано дієвість методів валютного регулювання, окреслено їх вплив на динаміку економічного зростання. Запропоновано напрями вдосконалення політики курсоутворення та регулювання валютного ринку</w:t>
      </w:r>
      <w:r>
        <w:rPr>
          <w:rStyle w:val="3David12pt0pt"/>
        </w:rPr>
        <w:t xml:space="preserve"> </w:t>
      </w:r>
      <w:r>
        <w:rPr>
          <w:rStyle w:val="385pt0pt"/>
        </w:rPr>
        <w:t xml:space="preserve">з </w:t>
      </w:r>
      <w:r>
        <w:t>метою поліпшення стану держа</w:t>
      </w:r>
      <w:r>
        <w:t>вного боргу та зменшення негативного сальдо платіжного балансу.</w:t>
      </w:r>
    </w:p>
    <w:p w:rsidR="00916841" w:rsidRDefault="00653561">
      <w:pPr>
        <w:pStyle w:val="30"/>
        <w:framePr w:w="9101" w:h="12922" w:hRule="exact" w:wrap="around" w:vAnchor="page" w:hAnchor="page" w:x="1422" w:y="2259"/>
        <w:shd w:val="clear" w:color="auto" w:fill="auto"/>
        <w:spacing w:before="0"/>
        <w:ind w:left="20" w:right="40" w:firstLine="280"/>
      </w:pPr>
      <w:r>
        <w:rPr>
          <w:lang w:val="en-US" w:eastAsia="en-US" w:bidi="en-US"/>
        </w:rPr>
        <w:t xml:space="preserve">The modern state of regulation of currency market by the National bank are analyzed. Effectiveness of methods of the currency regulation is discussed, outlined their influence on the dynamics </w:t>
      </w:r>
      <w:r>
        <w:rPr>
          <w:lang w:val="en-US" w:eastAsia="en-US" w:bidi="en-US"/>
        </w:rPr>
        <w:t>of the economy growth. Directions of perfection of currency policy and regulation of currency market are offered with the purpose of improvement of the state of national debt and diminishing of negative balance of balance of payments.</w:t>
      </w:r>
    </w:p>
    <w:p w:rsidR="00916841" w:rsidRDefault="00653561">
      <w:pPr>
        <w:pStyle w:val="a7"/>
        <w:framePr w:w="9101" w:h="12922" w:hRule="exact" w:wrap="around" w:vAnchor="page" w:hAnchor="page" w:x="1422" w:y="2259"/>
        <w:shd w:val="clear" w:color="auto" w:fill="auto"/>
        <w:spacing w:before="0"/>
        <w:ind w:left="20" w:right="40" w:firstLine="280"/>
      </w:pPr>
      <w:r>
        <w:t>Одним із основних інд</w:t>
      </w:r>
      <w:r>
        <w:t>икаторів економічного розвитку будь-якої держави є стабільність та купівельна спроможність національної валюти. В умовах глобального кризового періоду зростає роль державного регулювання валютної політики, адже більшість країн світу зазнають суттєвих фінан</w:t>
      </w:r>
      <w:r>
        <w:t>сових втрат, докладаючи зусиль у сфері підтримання фінансової рівноваги. Завдяки прискореним темпам глобалізації фінансового сектору світового господарства, перед урядами країн постає завдання щодо пошуку ефективних форм валютної політики.</w:t>
      </w:r>
    </w:p>
    <w:p w:rsidR="00916841" w:rsidRDefault="00653561">
      <w:pPr>
        <w:pStyle w:val="a7"/>
        <w:framePr w:w="9101" w:h="12922" w:hRule="exact" w:wrap="around" w:vAnchor="page" w:hAnchor="page" w:x="1422" w:y="2259"/>
        <w:shd w:val="clear" w:color="auto" w:fill="auto"/>
        <w:spacing w:before="0"/>
        <w:ind w:left="20" w:right="40" w:firstLine="280"/>
      </w:pPr>
      <w:r>
        <w:t>Актуальність пит</w:t>
      </w:r>
      <w:r>
        <w:t>ань щодо вдосконалення форм та методів валютного регулювання в Україні не викликає сумнівів, оскільки економіка нашої держави суттєво залежить від ситуації на валютному ринку та від коливань валютного курсу. У свідомості значної кількості громадян і суб’єк</w:t>
      </w:r>
      <w:r>
        <w:t>тів госпо</w:t>
      </w:r>
      <w:r>
        <w:softHyphen/>
        <w:t>дарювання ціна товарів (робіт, послуг) ототожнюється з певним еквівалентом іноземної валюти, що суттєво посилює необхідність проведення послідовної валютної політики Національного банку з метою її позитивного впливу на економіку України.</w:t>
      </w:r>
    </w:p>
    <w:p w:rsidR="00916841" w:rsidRDefault="00653561">
      <w:pPr>
        <w:pStyle w:val="a7"/>
        <w:framePr w:w="9101" w:h="12922" w:hRule="exact" w:wrap="around" w:vAnchor="page" w:hAnchor="page" w:x="1422" w:y="2259"/>
        <w:shd w:val="clear" w:color="auto" w:fill="auto"/>
        <w:spacing w:before="0"/>
        <w:ind w:left="20" w:right="40"/>
        <w:jc w:val="right"/>
      </w:pPr>
      <w:r>
        <w:t>Дослідженню теоретичних питань і практичних аспектів реалізації валютної політики присвячені праці провідних вітчизняних та зарубіжних науковців: О. І. Береславської, А. С. Гальчинського,</w:t>
      </w:r>
    </w:p>
    <w:p w:rsidR="00916841" w:rsidRDefault="00653561">
      <w:pPr>
        <w:pStyle w:val="a7"/>
        <w:framePr w:w="9101" w:h="12922" w:hRule="exact" w:wrap="around" w:vAnchor="page" w:hAnchor="page" w:x="1422" w:y="2259"/>
        <w:shd w:val="clear" w:color="auto" w:fill="auto"/>
        <w:tabs>
          <w:tab w:val="left" w:pos="357"/>
        </w:tabs>
        <w:spacing w:before="0"/>
        <w:ind w:left="20" w:right="40"/>
      </w:pPr>
      <w:r>
        <w:t>О.</w:t>
      </w:r>
      <w:r>
        <w:tab/>
        <w:t>В. Дзюблюка, Л. М. Красавіної, Б. О. Лапчука, С. Моісєєва, С. Фіш</w:t>
      </w:r>
      <w:r>
        <w:t>ера, Дж. Флемінга, М. Фрідмана та ін. Водночас, незважаючи на значні здобутки в дослідженні теоретичного обґрунтування суті, функцій та реалізації валютної політики центрального банку, дискусійними залишаються окремі питання щодо застосування валютних обме</w:t>
      </w:r>
      <w:r>
        <w:t>жень, вибору оптимальної моделі курсоутворення в Україні.</w:t>
      </w:r>
    </w:p>
    <w:p w:rsidR="00916841" w:rsidRDefault="00653561">
      <w:pPr>
        <w:pStyle w:val="a7"/>
        <w:framePr w:w="9101" w:h="12922" w:hRule="exact" w:wrap="around" w:vAnchor="page" w:hAnchor="page" w:x="1422" w:y="2259"/>
        <w:shd w:val="clear" w:color="auto" w:fill="auto"/>
        <w:spacing w:before="0"/>
        <w:ind w:left="20" w:right="40" w:firstLine="280"/>
      </w:pPr>
      <w:r>
        <w:t xml:space="preserve">Метою статті є з’ясування сутності, визначення особливостей формування валютної політики Національного банку України на сучасному етапі, а також пошук шляхів оптимальної її реалізації, що сприяло б </w:t>
      </w:r>
      <w:r>
        <w:t>економічному зростанню та підвищенню добробуту населення.</w:t>
      </w:r>
    </w:p>
    <w:p w:rsidR="00916841" w:rsidRDefault="00653561">
      <w:pPr>
        <w:pStyle w:val="a7"/>
        <w:framePr w:w="9101" w:h="12922" w:hRule="exact" w:wrap="around" w:vAnchor="page" w:hAnchor="page" w:x="1422" w:y="2259"/>
        <w:shd w:val="clear" w:color="auto" w:fill="auto"/>
        <w:spacing w:before="0" w:after="268"/>
        <w:ind w:left="20" w:right="40" w:firstLine="280"/>
      </w:pPr>
      <w:r>
        <w:t>Нестабільність ринкових перетворень, пов’язаних із кризовими явищами в світовій економіці, демонструють важливість ефективної реалізації валютної політики в Україні, яка є важливим фактором здійснен</w:t>
      </w:r>
      <w:r>
        <w:t>ня впливу на рівень внутрішніх цін, загальний стан платіжного балансу країни, її конкуренто</w:t>
      </w:r>
      <w:r>
        <w:softHyphen/>
        <w:t>спроможність на зовнішніх ринках, а також на забезпечення макроекономічної стабільності та створення умов підвищення довіри до гривні.</w:t>
      </w:r>
    </w:p>
    <w:p w:rsidR="00916841" w:rsidRDefault="00653561">
      <w:pPr>
        <w:pStyle w:val="40"/>
        <w:framePr w:w="9101" w:h="12922" w:hRule="exact" w:wrap="around" w:vAnchor="page" w:hAnchor="page" w:x="1422" w:y="2259"/>
        <w:shd w:val="clear" w:color="auto" w:fill="auto"/>
        <w:spacing w:before="0" w:line="140" w:lineRule="exact"/>
        <w:ind w:left="20"/>
      </w:pPr>
      <w:r>
        <w:t>© Богдан Адамик, Андрій Скірк</w:t>
      </w:r>
      <w:r>
        <w:t>а, 2013.</w:t>
      </w:r>
    </w:p>
    <w:p w:rsidR="00916841" w:rsidRDefault="00653561">
      <w:pPr>
        <w:pStyle w:val="24"/>
        <w:framePr w:wrap="around" w:vAnchor="page" w:hAnchor="page" w:x="1413" w:y="15565"/>
        <w:shd w:val="clear" w:color="auto" w:fill="auto"/>
        <w:spacing w:line="130" w:lineRule="exact"/>
        <w:ind w:left="20"/>
      </w:pPr>
      <w:r>
        <w:t>Наука молода № 19, 2013 р.</w:t>
      </w:r>
    </w:p>
    <w:p w:rsidR="00916841" w:rsidRDefault="00653561">
      <w:pPr>
        <w:pStyle w:val="a5"/>
        <w:framePr w:wrap="around" w:vAnchor="page" w:hAnchor="page" w:x="10288" w:y="15587"/>
        <w:shd w:val="clear" w:color="auto" w:fill="auto"/>
        <w:spacing w:line="170" w:lineRule="exact"/>
        <w:ind w:left="20"/>
      </w:pPr>
      <w:r>
        <w:t>89</w:t>
      </w:r>
    </w:p>
    <w:p w:rsidR="00916841" w:rsidRDefault="00916841">
      <w:pPr>
        <w:rPr>
          <w:sz w:val="2"/>
          <w:szCs w:val="2"/>
        </w:rPr>
        <w:sectPr w:rsidR="00916841">
          <w:pgSz w:w="11909" w:h="16838"/>
          <w:pgMar w:top="0" w:right="0" w:bottom="0" w:left="0" w:header="0" w:footer="3" w:gutter="0"/>
          <w:cols w:space="720"/>
          <w:noEndnote/>
          <w:docGrid w:linePitch="360"/>
        </w:sectPr>
      </w:pPr>
    </w:p>
    <w:p w:rsidR="00916841" w:rsidRDefault="00653561">
      <w:pPr>
        <w:pStyle w:val="32"/>
        <w:framePr w:w="2683" w:h="466" w:hRule="exact" w:wrap="around" w:vAnchor="page" w:hAnchor="page" w:x="1418" w:y="1066"/>
        <w:shd w:val="clear" w:color="auto" w:fill="auto"/>
        <w:spacing w:after="38" w:line="150" w:lineRule="exact"/>
        <w:ind w:left="40"/>
      </w:pPr>
      <w:r>
        <w:lastRenderedPageBreak/>
        <w:t>Б. Адамик, А. Скірка</w:t>
      </w:r>
    </w:p>
    <w:p w:rsidR="00916841" w:rsidRDefault="00653561">
      <w:pPr>
        <w:pStyle w:val="a5"/>
        <w:framePr w:w="2683" w:h="466" w:hRule="exact" w:wrap="around" w:vAnchor="page" w:hAnchor="page" w:x="1418" w:y="1066"/>
        <w:shd w:val="clear" w:color="auto" w:fill="auto"/>
        <w:spacing w:line="170" w:lineRule="exact"/>
        <w:ind w:left="40"/>
      </w:pPr>
      <w:r>
        <w:t>Аналіз впливу валютної...</w:t>
      </w:r>
    </w:p>
    <w:p w:rsidR="00916841" w:rsidRDefault="00653561">
      <w:pPr>
        <w:pStyle w:val="a7"/>
        <w:framePr w:w="9082" w:h="13062" w:hRule="exact" w:wrap="around" w:vAnchor="page" w:hAnchor="page" w:x="1432" w:y="1721"/>
        <w:shd w:val="clear" w:color="auto" w:fill="auto"/>
        <w:spacing w:before="0"/>
        <w:ind w:left="20" w:right="20" w:firstLine="280"/>
      </w:pPr>
      <w:r>
        <w:t xml:space="preserve">Валютна політика - складне економічне поняття. В сучасній економічній літературі не простежується єдиного підходу щодо тлумачення терміну «валютна </w:t>
      </w:r>
      <w:r>
        <w:t>політика». Наприклад, професор О. В. Дзюблюк дає таке визначення: «Валютна політика - це розробка й практична реалізація державою засобів впливу на ті економічні відносини суб’єктів ринку, які стосуються їхніх операцій з валютою» [1, с. 24].</w:t>
      </w:r>
    </w:p>
    <w:p w:rsidR="00916841" w:rsidRDefault="00653561">
      <w:pPr>
        <w:pStyle w:val="a7"/>
        <w:framePr w:w="9082" w:h="13062" w:hRule="exact" w:wrap="around" w:vAnchor="page" w:hAnchor="page" w:x="1432" w:y="1721"/>
        <w:shd w:val="clear" w:color="auto" w:fill="auto"/>
        <w:spacing w:before="0"/>
        <w:ind w:left="20" w:right="20" w:firstLine="280"/>
      </w:pPr>
      <w:r>
        <w:t>Професор А. М.</w:t>
      </w:r>
      <w:r>
        <w:t xml:space="preserve"> Мороз визначає валютну політку як сукупність заходів, що здійснюються державою у сфері міжнародних валютних відносин відповідно до поточних (тактичних) та довгострокових (стратегічних) цілей країни [2, с. 471]. Але, на нашу думку, це тлумачення не є зовсі</w:t>
      </w:r>
      <w:r>
        <w:t>м повним, оскільки стосується сфери міжнародних валютних відносин. Тому вважаємо за доцільне розглядати валютну політику як комплекс правових, організаційних, економічних, адміністративних та інших заходів і механізмів, що здійснюються державою у сфері вал</w:t>
      </w:r>
      <w:r>
        <w:t>ютних відносин відповідно стратегічних цілей економічної політики держави, з метою забезпечення стабільності обмінного курсу національної валюти та збалансованості платіжного балансу країни.</w:t>
      </w:r>
    </w:p>
    <w:p w:rsidR="00916841" w:rsidRDefault="00653561">
      <w:pPr>
        <w:pStyle w:val="a7"/>
        <w:framePr w:w="9082" w:h="13062" w:hRule="exact" w:wrap="around" w:vAnchor="page" w:hAnchor="page" w:x="1432" w:y="1721"/>
        <w:shd w:val="clear" w:color="auto" w:fill="auto"/>
        <w:spacing w:before="0"/>
        <w:ind w:left="20" w:right="20" w:firstLine="280"/>
      </w:pPr>
      <w:r>
        <w:t>При проведенні валютної політики Національний банк України застос</w:t>
      </w:r>
      <w:r>
        <w:t>овує широке коло інструментів, завдяки яким здійснюється валютне регулювання.</w:t>
      </w:r>
    </w:p>
    <w:p w:rsidR="00916841" w:rsidRDefault="00653561">
      <w:pPr>
        <w:pStyle w:val="a7"/>
        <w:framePr w:w="9082" w:h="13062" w:hRule="exact" w:wrap="around" w:vAnchor="page" w:hAnchor="page" w:x="1432" w:y="1721"/>
        <w:shd w:val="clear" w:color="auto" w:fill="auto"/>
        <w:spacing w:before="0"/>
        <w:ind w:left="20" w:right="20" w:firstLine="280"/>
      </w:pPr>
      <w:r>
        <w:t>Інструменти валютної політики - це певні операції, за допомогою яких центральний банк впливає на стан валютного ринку в країні й на поточні орієнтири валютної політики [1, с. 108</w:t>
      </w:r>
      <w:r>
        <w:t>]. Саме інструменти реалізації валютної політики, що використовуються відповідно до визначених стратегічних орієнтирів, формують її конкретне наповнення, відображаючи спрямованість діяльності центрального банку на досягнення кінцевих цілей монетарної політ</w:t>
      </w:r>
      <w:r>
        <w:t>ики.</w:t>
      </w:r>
    </w:p>
    <w:p w:rsidR="00916841" w:rsidRDefault="00653561">
      <w:pPr>
        <w:pStyle w:val="a7"/>
        <w:framePr w:w="9082" w:h="13062" w:hRule="exact" w:wrap="around" w:vAnchor="page" w:hAnchor="page" w:x="1432" w:y="1721"/>
        <w:shd w:val="clear" w:color="auto" w:fill="auto"/>
        <w:spacing w:before="0"/>
        <w:ind w:left="20" w:right="20" w:firstLine="280"/>
      </w:pPr>
      <w:r>
        <w:t>Усі інструменти валютної політики, залежно від способів їх використання та особливостей впливу на валютні операції, можна умовно поділити на дві категорії: економічні та адміністративні. У сучасних динамічних умовах ринкових відносин економічні інстру</w:t>
      </w:r>
      <w:r>
        <w:t>менти валютної політики передбачають використання різноманітних засобів стимулювання економічної зацікавленості суб’єктів ринку у здійсненні тих чи інших валютних операцій з метою впливу на динаміку обмінного курсу та інші макроекономічні параметри розвитк</w:t>
      </w:r>
      <w:r>
        <w:t>у національного господарства.</w:t>
      </w:r>
    </w:p>
    <w:p w:rsidR="00916841" w:rsidRDefault="00653561">
      <w:pPr>
        <w:pStyle w:val="a7"/>
        <w:framePr w:w="9082" w:h="13062" w:hRule="exact" w:wrap="around" w:vAnchor="page" w:hAnchor="page" w:x="1432" w:y="1721"/>
        <w:shd w:val="clear" w:color="auto" w:fill="auto"/>
        <w:spacing w:before="0"/>
        <w:ind w:left="20" w:right="20" w:firstLine="280"/>
      </w:pPr>
      <w:r>
        <w:t>До економічних інструментів належать: девізна політика, дисконтна політика, диверсифікація валютних резервів, регулювання режиму валютного курсу, девальвація і ревальвація валют. Основним адміністративним інструментом є валютн</w:t>
      </w:r>
      <w:r>
        <w:t>і обмеження [1, с. 109].</w:t>
      </w:r>
    </w:p>
    <w:p w:rsidR="00916841" w:rsidRDefault="00653561">
      <w:pPr>
        <w:pStyle w:val="a7"/>
        <w:framePr w:w="9082" w:h="13062" w:hRule="exact" w:wrap="around" w:vAnchor="page" w:hAnchor="page" w:x="1432" w:y="1721"/>
        <w:shd w:val="clear" w:color="auto" w:fill="auto"/>
        <w:spacing w:before="0"/>
        <w:ind w:left="20" w:right="20" w:firstLine="280"/>
      </w:pPr>
      <w:r>
        <w:t>Важливим і найбільш дієвим інструментом впливу НБУ на валютний курс залишається девізна політика. Основною формою її реалізації є валютні інтервенції, під якими слід розуміти втручання центрального банку в здійснення операцій на ва</w:t>
      </w:r>
      <w:r>
        <w:t>лютному ринку держави з метою впливу на обмінний курс національної валюти шляхом купівлі чи продажу іноземної валюти. Загалом інтервенції проводяться з метою регулювання валютного курсу й управління його волатильністю на ринку [3].</w:t>
      </w:r>
    </w:p>
    <w:p w:rsidR="00916841" w:rsidRDefault="00653561">
      <w:pPr>
        <w:pStyle w:val="a7"/>
        <w:framePr w:w="9082" w:h="13062" w:hRule="exact" w:wrap="around" w:vAnchor="page" w:hAnchor="page" w:x="1432" w:y="1721"/>
        <w:shd w:val="clear" w:color="auto" w:fill="auto"/>
        <w:spacing w:before="0"/>
        <w:ind w:left="20" w:right="20" w:firstLine="280"/>
      </w:pPr>
      <w:r>
        <w:t>Головними цілями проведе</w:t>
      </w:r>
      <w:r>
        <w:t>ння валютних інтервенцій доцільно визначити: підтримання на певному рівні курсу національної грошової одиниці; стабілізація кон’юнктури на валютному ринку країни, тобто врівноваження попиту і пропозиції на іноземну валюту підтримання курсу національної вал</w:t>
      </w:r>
      <w:r>
        <w:t>юти на штучно заниженому рівні для стимулювання збільшення обсягів експорту і підтримання конкуренто</w:t>
      </w:r>
      <w:r>
        <w:softHyphen/>
        <w:t>спроможності на зовнішніх ринках.</w:t>
      </w:r>
    </w:p>
    <w:p w:rsidR="00916841" w:rsidRDefault="00653561">
      <w:pPr>
        <w:pStyle w:val="a7"/>
        <w:framePr w:w="9082" w:h="13062" w:hRule="exact" w:wrap="around" w:vAnchor="page" w:hAnchor="page" w:x="1432" w:y="1721"/>
        <w:shd w:val="clear" w:color="auto" w:fill="auto"/>
        <w:spacing w:before="0"/>
        <w:ind w:left="20" w:right="20" w:firstLine="280"/>
      </w:pPr>
      <w:r>
        <w:t>НБУ використовує такі основні джерела валютних інтервенцій: офіційні золотовалютні резерви краіни; короткострокові взаємн</w:t>
      </w:r>
      <w:r>
        <w:t>і кредити за міжбанківськими угодами «своп»; продаж цінних паперів (ОВДП та ОЗДП), номінованиху іноземній валюті.</w:t>
      </w:r>
    </w:p>
    <w:p w:rsidR="00916841" w:rsidRDefault="00653561">
      <w:pPr>
        <w:pStyle w:val="a7"/>
        <w:framePr w:w="9082" w:h="13062" w:hRule="exact" w:wrap="around" w:vAnchor="page" w:hAnchor="page" w:x="1432" w:y="1721"/>
        <w:shd w:val="clear" w:color="auto" w:fill="auto"/>
        <w:spacing w:before="0"/>
        <w:ind w:left="20" w:right="20" w:firstLine="280"/>
      </w:pPr>
      <w:r>
        <w:t>Водночас необхідно зазначити, що використання девізної політики має і певні обмеження, які пов’язані з такими основними причинами: валютні інт</w:t>
      </w:r>
      <w:r>
        <w:t>ервенції можуть бути ефективними лише тимча</w:t>
      </w:r>
      <w:r>
        <w:softHyphen/>
        <w:t>сово, оскільки обсяги золотовалютних резервів вичерпні та обмежені; валютні інтервенції мають лише односторонню спрямованість - утримання курсу національної валюти від значних коливань; такі інтервенції мають впл</w:t>
      </w:r>
      <w:r>
        <w:t>ив на грошову масу в країні, а отже на інфляційні процеси [3].</w:t>
      </w:r>
    </w:p>
    <w:p w:rsidR="00916841" w:rsidRDefault="00653561">
      <w:pPr>
        <w:pStyle w:val="a7"/>
        <w:framePr w:w="9082" w:h="13062" w:hRule="exact" w:wrap="around" w:vAnchor="page" w:hAnchor="page" w:x="1432" w:y="1721"/>
        <w:shd w:val="clear" w:color="auto" w:fill="auto"/>
        <w:spacing w:before="0"/>
        <w:ind w:left="20" w:right="20" w:firstLine="280"/>
      </w:pPr>
      <w:r>
        <w:t>Основним джерелом коштів для проведення валютних інтервенцій є золотовалютні резерви. Зазвичай вони включають зовнішні високоліквідні активи у вигляді іноземної валюти та золота, що знаходяться</w:t>
      </w:r>
      <w:r>
        <w:t xml:space="preserve"> під контролем державних органів грошово-кредитного регулювання і в будь-якии момент можуть бути використані для фінансування дефіциту платіжного балансу, інтервенцій на валютних ринках, що впливатимуть на курс національної валюти [4].</w:t>
      </w:r>
    </w:p>
    <w:p w:rsidR="00916841" w:rsidRDefault="00653561">
      <w:pPr>
        <w:pStyle w:val="a7"/>
        <w:framePr w:w="9082" w:h="13062" w:hRule="exact" w:wrap="around" w:vAnchor="page" w:hAnchor="page" w:x="1432" w:y="1721"/>
        <w:shd w:val="clear" w:color="auto" w:fill="auto"/>
        <w:spacing w:before="0"/>
        <w:ind w:left="20" w:firstLine="280"/>
      </w:pPr>
      <w:r>
        <w:t xml:space="preserve">Динаміку </w:t>
      </w:r>
      <w:r>
        <w:t>золотовалютних резервів НБУ проілюстровано на рис. 1.</w:t>
      </w:r>
    </w:p>
    <w:p w:rsidR="00916841" w:rsidRDefault="00653561">
      <w:pPr>
        <w:pStyle w:val="a5"/>
        <w:framePr w:wrap="around" w:vAnchor="page" w:hAnchor="page" w:x="1394" w:y="15566"/>
        <w:shd w:val="clear" w:color="auto" w:fill="auto"/>
        <w:spacing w:line="170" w:lineRule="exact"/>
        <w:ind w:left="20"/>
      </w:pPr>
      <w:r>
        <w:t>90</w:t>
      </w:r>
    </w:p>
    <w:p w:rsidR="00916841" w:rsidRDefault="00653561">
      <w:pPr>
        <w:pStyle w:val="24"/>
        <w:framePr w:wrap="around" w:vAnchor="page" w:hAnchor="page" w:x="8325" w:y="15572"/>
        <w:shd w:val="clear" w:color="auto" w:fill="auto"/>
        <w:spacing w:line="130" w:lineRule="exact"/>
        <w:ind w:left="20"/>
      </w:pPr>
      <w:r>
        <w:t>Наука молода № 19, 2013 р.</w:t>
      </w:r>
    </w:p>
    <w:p w:rsidR="00916841" w:rsidRDefault="00916841">
      <w:pPr>
        <w:rPr>
          <w:sz w:val="2"/>
          <w:szCs w:val="2"/>
        </w:rPr>
        <w:sectPr w:rsidR="00916841">
          <w:pgSz w:w="11909" w:h="16838"/>
          <w:pgMar w:top="0" w:right="0" w:bottom="0" w:left="0" w:header="0" w:footer="3" w:gutter="0"/>
          <w:cols w:space="720"/>
          <w:noEndnote/>
          <w:docGrid w:linePitch="360"/>
        </w:sectPr>
      </w:pPr>
    </w:p>
    <w:p w:rsidR="00916841" w:rsidRDefault="00653561">
      <w:pPr>
        <w:pStyle w:val="a5"/>
        <w:framePr w:wrap="around" w:vAnchor="page" w:hAnchor="page" w:x="5274" w:y="1217"/>
        <w:shd w:val="clear" w:color="auto" w:fill="auto"/>
        <w:spacing w:line="170" w:lineRule="exact"/>
        <w:ind w:left="20"/>
      </w:pPr>
      <w:r>
        <w:lastRenderedPageBreak/>
        <w:t>Перспективи розвитку фінансово-кредитної системи</w:t>
      </w:r>
    </w:p>
    <w:p w:rsidR="00916841" w:rsidRDefault="00653561">
      <w:pPr>
        <w:framePr w:wrap="none" w:vAnchor="page" w:hAnchor="page" w:x="1650" w:y="1894"/>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260.25pt">
            <v:imagedata r:id="rId7" r:href="rId8"/>
          </v:shape>
        </w:pict>
      </w:r>
    </w:p>
    <w:p w:rsidR="00916841" w:rsidRDefault="00653561">
      <w:pPr>
        <w:pStyle w:val="26"/>
        <w:framePr w:w="6528" w:h="216" w:hRule="exact" w:wrap="around" w:vAnchor="page" w:hAnchor="page" w:x="2711" w:y="7472"/>
        <w:shd w:val="clear" w:color="auto" w:fill="auto"/>
        <w:spacing w:line="170" w:lineRule="exact"/>
      </w:pPr>
      <w:r>
        <w:rPr>
          <w:rStyle w:val="20pt"/>
        </w:rPr>
        <w:t xml:space="preserve">Рис. 1. </w:t>
      </w:r>
      <w:r>
        <w:t>Офіційні резервні активи Національного банку України</w:t>
      </w:r>
      <w:r>
        <w:rPr>
          <w:rStyle w:val="20pt"/>
        </w:rPr>
        <w:t xml:space="preserve"> [5]</w:t>
      </w:r>
    </w:p>
    <w:p w:rsidR="00916841" w:rsidRDefault="00653561">
      <w:pPr>
        <w:pStyle w:val="a7"/>
        <w:framePr w:w="9077" w:h="7028" w:hRule="exact" w:wrap="around" w:vAnchor="page" w:hAnchor="page" w:x="1434" w:y="7953"/>
        <w:shd w:val="clear" w:color="auto" w:fill="auto"/>
        <w:spacing w:before="0"/>
        <w:ind w:left="20" w:right="20" w:firstLine="280"/>
      </w:pPr>
      <w:r>
        <w:t>Можна проаналізувати, що міжнародні резерви, починаючи з другого кварта</w:t>
      </w:r>
      <w:r>
        <w:t xml:space="preserve">лу 2011 </w:t>
      </w:r>
      <w:r>
        <w:rPr>
          <w:lang w:val="en-US" w:eastAsia="en-US" w:bidi="en-US"/>
        </w:rPr>
        <w:t xml:space="preserve">p., </w:t>
      </w:r>
      <w:r>
        <w:t>мали стійку тенденцію до зниження. Впродовж2012 р. вони знизились на 6,6 млрд. дол. США, або на 21,2 %.</w:t>
      </w:r>
    </w:p>
    <w:p w:rsidR="00916841" w:rsidRDefault="00653561">
      <w:pPr>
        <w:pStyle w:val="a7"/>
        <w:framePr w:w="9077" w:h="7028" w:hRule="exact" w:wrap="around" w:vAnchor="page" w:hAnchor="page" w:x="1434" w:y="7953"/>
        <w:shd w:val="clear" w:color="auto" w:fill="auto"/>
        <w:spacing w:before="0"/>
        <w:ind w:left="20" w:right="20" w:firstLine="280"/>
      </w:pPr>
      <w:r>
        <w:t>Такожпротягом 2012 р. уряд та Національний банк Украіни здійснили значні виплати за державним та гарантованим державою боргом, обсяг яких ст</w:t>
      </w:r>
      <w:r>
        <w:t>ановив 7,8 млрд. дол., у тому числі за кредитами МВФ близько 3,5 млрд. дол. Фактично обсяг виплат у 2012 р. більш ніжудвічі перевищив платежі 2011 р. (3,2 млрд. дол. США).</w:t>
      </w:r>
    </w:p>
    <w:p w:rsidR="00916841" w:rsidRDefault="00653561">
      <w:pPr>
        <w:pStyle w:val="a7"/>
        <w:framePr w:w="9077" w:h="7028" w:hRule="exact" w:wrap="around" w:vAnchor="page" w:hAnchor="page" w:x="1434" w:y="7953"/>
        <w:shd w:val="clear" w:color="auto" w:fill="auto"/>
        <w:spacing w:before="0"/>
        <w:ind w:left="20" w:right="20" w:firstLine="280"/>
      </w:pPr>
      <w:r>
        <w:t xml:space="preserve">Крім зазначених чинників, на динаміку міжнародних резервів також вплинуло </w:t>
      </w:r>
      <w:r>
        <w:t>надходження коштів від розміщення урядом Украіни ОЗДП (3,9 млрд. дол. США), ОВДП (2,9 млрд. дол.) та казна</w:t>
      </w:r>
      <w:r>
        <w:softHyphen/>
        <w:t>чейських зобов’язань в іноземній валюті (152 млн. дол. в еквіваленті), а також доходи від розміщення резервів та позитивна курсова різниця [6].</w:t>
      </w:r>
    </w:p>
    <w:p w:rsidR="00916841" w:rsidRDefault="00653561">
      <w:pPr>
        <w:pStyle w:val="a7"/>
        <w:framePr w:w="9077" w:h="7028" w:hRule="exact" w:wrap="around" w:vAnchor="page" w:hAnchor="page" w:x="1434" w:y="7953"/>
        <w:shd w:val="clear" w:color="auto" w:fill="auto"/>
        <w:spacing w:before="0"/>
        <w:ind w:left="20" w:right="20" w:firstLine="280"/>
      </w:pPr>
      <w:r>
        <w:t>Важли</w:t>
      </w:r>
      <w:r>
        <w:t>вим аспектом управління золотовалютними резервами є визначення їх оптимального рівня. Поняття «оптимальний рівень золотовалютних резервів» необхідно сприймати не як чітко заплановану величину, а швидше як середньо- або довгострокову мету, навколо якої факт</w:t>
      </w:r>
      <w:r>
        <w:t>ичний рівень резервів може коливатися в певних, визначених регулятором, межах.</w:t>
      </w:r>
    </w:p>
    <w:p w:rsidR="00916841" w:rsidRDefault="00653561">
      <w:pPr>
        <w:pStyle w:val="a7"/>
        <w:framePr w:w="9077" w:h="7028" w:hRule="exact" w:wrap="around" w:vAnchor="page" w:hAnchor="page" w:x="1434" w:y="7953"/>
        <w:shd w:val="clear" w:color="auto" w:fill="auto"/>
        <w:spacing w:before="0"/>
        <w:ind w:left="20" w:right="20" w:firstLine="280"/>
      </w:pPr>
      <w:r>
        <w:t>Сьогодні можна виділити такі основні кількісні критерії визначення адекватності золотовалютних резервів [7]:</w:t>
      </w:r>
    </w:p>
    <w:p w:rsidR="00916841" w:rsidRDefault="00653561">
      <w:pPr>
        <w:pStyle w:val="a7"/>
        <w:framePr w:w="9077" w:h="7028" w:hRule="exact" w:wrap="around" w:vAnchor="page" w:hAnchor="page" w:x="1434" w:y="7953"/>
        <w:numPr>
          <w:ilvl w:val="0"/>
          <w:numId w:val="1"/>
        </w:numPr>
        <w:shd w:val="clear" w:color="auto" w:fill="auto"/>
        <w:spacing w:before="0"/>
        <w:ind w:left="20" w:right="20" w:firstLine="280"/>
      </w:pPr>
      <w:r>
        <w:t xml:space="preserve"> критерій забезпечення національної грошової одиниці. За цим критері</w:t>
      </w:r>
      <w:r>
        <w:t>єм резерви мають бути достатніми для попередження різкої девальвації чи ревальвації вітчизняної валюти. Він передбачає, що сума резервів є достатньою за умови повного покриття грошової бази країни;</w:t>
      </w:r>
    </w:p>
    <w:p w:rsidR="00916841" w:rsidRDefault="00653561">
      <w:pPr>
        <w:pStyle w:val="a7"/>
        <w:framePr w:w="9077" w:h="7028" w:hRule="exact" w:wrap="around" w:vAnchor="page" w:hAnchor="page" w:x="1434" w:y="7953"/>
        <w:numPr>
          <w:ilvl w:val="0"/>
          <w:numId w:val="1"/>
        </w:numPr>
        <w:shd w:val="clear" w:color="auto" w:fill="auto"/>
        <w:spacing w:before="0"/>
        <w:ind w:left="20" w:right="20" w:firstLine="280"/>
      </w:pPr>
      <w:r>
        <w:t xml:space="preserve"> критерій покриття імпорту. Один із найбільш традиційних к</w:t>
      </w:r>
      <w:r>
        <w:t>ритеріїв оцінки достатності міжнародних резервів. Величина покриття імпорту залежить від рівня економічного розвитку країни та ситуації на міжнародних ринках. Оптимальним вважається, коли резерви покривають трьохмісячний імпорт країни;</w:t>
      </w:r>
    </w:p>
    <w:p w:rsidR="00916841" w:rsidRDefault="00653561">
      <w:pPr>
        <w:pStyle w:val="a7"/>
        <w:framePr w:w="9077" w:h="7028" w:hRule="exact" w:wrap="around" w:vAnchor="page" w:hAnchor="page" w:x="1434" w:y="7953"/>
        <w:numPr>
          <w:ilvl w:val="0"/>
          <w:numId w:val="1"/>
        </w:numPr>
        <w:shd w:val="clear" w:color="auto" w:fill="auto"/>
        <w:spacing w:before="0"/>
        <w:ind w:left="20" w:right="20" w:firstLine="280"/>
      </w:pPr>
      <w:r>
        <w:t xml:space="preserve"> критерій покриття з</w:t>
      </w:r>
      <w:r>
        <w:t xml:space="preserve">овнішнього боргу. Цей показник, що був запроваджений у 1999 </w:t>
      </w:r>
      <w:r>
        <w:rPr>
          <w:lang w:val="en-US" w:eastAsia="en-US" w:bidi="en-US"/>
        </w:rPr>
        <w:t xml:space="preserve">p., </w:t>
      </w:r>
      <w:r>
        <w:t>відомий під назвою «Гвідотті», за яким обсяг резервів є достатнім, якщо він дає змогу обходитися країні без зовнішніх запозичень протягом 12 місяців. Розраховується шляхом підсумовування річни</w:t>
      </w:r>
      <w:r>
        <w:t>х платежів з обслуговування зовнішнього боргу країни та сальдо платіжного балансу.</w:t>
      </w:r>
    </w:p>
    <w:p w:rsidR="00916841" w:rsidRDefault="00653561">
      <w:pPr>
        <w:pStyle w:val="a7"/>
        <w:framePr w:w="9077" w:h="7028" w:hRule="exact" w:wrap="around" w:vAnchor="page" w:hAnchor="page" w:x="1434" w:y="7953"/>
        <w:shd w:val="clear" w:color="auto" w:fill="auto"/>
        <w:spacing w:before="0"/>
        <w:ind w:left="20" w:right="20" w:firstLine="280"/>
      </w:pPr>
      <w:r>
        <w:t>Аналіз достатності міжнародних резервів показав, що Національним банком України не були дотримані всі критерії адекватності резервів, що свідчить про неоптимальність їх обся</w:t>
      </w:r>
      <w:r>
        <w:t>гу. За станом</w:t>
      </w:r>
    </w:p>
    <w:p w:rsidR="00916841" w:rsidRDefault="00653561">
      <w:pPr>
        <w:pStyle w:val="24"/>
        <w:framePr w:wrap="around" w:vAnchor="page" w:hAnchor="page" w:x="1425" w:y="15473"/>
        <w:shd w:val="clear" w:color="auto" w:fill="auto"/>
        <w:spacing w:line="130" w:lineRule="exact"/>
        <w:ind w:left="20"/>
      </w:pPr>
      <w:r>
        <w:t>Наука молода № 19, 2013 р.</w:t>
      </w:r>
    </w:p>
    <w:p w:rsidR="00916841" w:rsidRDefault="00653561">
      <w:pPr>
        <w:pStyle w:val="a5"/>
        <w:framePr w:wrap="around" w:vAnchor="page" w:hAnchor="page" w:x="10300" w:y="15496"/>
        <w:shd w:val="clear" w:color="auto" w:fill="auto"/>
        <w:spacing w:line="170" w:lineRule="exact"/>
        <w:ind w:left="20"/>
      </w:pPr>
      <w:r>
        <w:t>91</w:t>
      </w:r>
    </w:p>
    <w:p w:rsidR="00916841" w:rsidRDefault="00916841">
      <w:pPr>
        <w:rPr>
          <w:sz w:val="2"/>
          <w:szCs w:val="2"/>
        </w:rPr>
        <w:sectPr w:rsidR="00916841">
          <w:pgSz w:w="11909" w:h="16838"/>
          <w:pgMar w:top="0" w:right="0" w:bottom="0" w:left="0" w:header="0" w:footer="3" w:gutter="0"/>
          <w:cols w:space="720"/>
          <w:noEndnote/>
          <w:docGrid w:linePitch="360"/>
        </w:sectPr>
      </w:pPr>
    </w:p>
    <w:p w:rsidR="00916841" w:rsidRDefault="00653561">
      <w:pPr>
        <w:pStyle w:val="32"/>
        <w:framePr w:w="9130" w:h="437" w:hRule="exact" w:wrap="around" w:vAnchor="page" w:hAnchor="page" w:x="1408" w:y="1059"/>
        <w:shd w:val="clear" w:color="auto" w:fill="auto"/>
        <w:spacing w:after="38" w:line="150" w:lineRule="exact"/>
        <w:ind w:left="40"/>
      </w:pPr>
      <w:r>
        <w:lastRenderedPageBreak/>
        <w:t>Б. Адамик, А. Скірка</w:t>
      </w:r>
    </w:p>
    <w:p w:rsidR="00916841" w:rsidRDefault="00653561">
      <w:pPr>
        <w:pStyle w:val="a5"/>
        <w:framePr w:w="9130" w:h="437" w:hRule="exact" w:wrap="around" w:vAnchor="page" w:hAnchor="page" w:x="1408" w:y="1059"/>
        <w:shd w:val="clear" w:color="auto" w:fill="auto"/>
        <w:spacing w:line="170" w:lineRule="exact"/>
        <w:ind w:left="40"/>
      </w:pPr>
      <w:r>
        <w:t>Аналіз впливу валютної...</w:t>
      </w:r>
    </w:p>
    <w:p w:rsidR="00916841" w:rsidRDefault="00653561">
      <w:pPr>
        <w:pStyle w:val="a7"/>
        <w:framePr w:w="9082" w:h="12533" w:hRule="exact" w:wrap="around" w:vAnchor="page" w:hAnchor="page" w:x="1432" w:y="1723"/>
        <w:shd w:val="clear" w:color="auto" w:fill="auto"/>
        <w:spacing w:before="0"/>
        <w:ind w:left="20" w:right="20"/>
      </w:pPr>
      <w:r>
        <w:t>на 01.04.2013 р. обсяги міжнародних резервів становили 24.7 млрд. дол. США, що забезпечує фінансування імпорту майбутнього періоду протягом 2,8</w:t>
      </w:r>
      <w:r>
        <w:t xml:space="preserve"> місяця (критерій - не менше 3 місяців) [8]. Також грошова база за станом на 01.04.2013 р. становить 31,6 млрд. дол. (за середньозваженим курсом гривні до долара 8,1042), що не покривається золотовалютними резервами [9].</w:t>
      </w:r>
    </w:p>
    <w:p w:rsidR="00916841" w:rsidRDefault="00653561">
      <w:pPr>
        <w:pStyle w:val="a7"/>
        <w:framePr w:w="9082" w:h="12533" w:hRule="exact" w:wrap="around" w:vAnchor="page" w:hAnchor="page" w:x="1432" w:y="1723"/>
        <w:shd w:val="clear" w:color="auto" w:fill="auto"/>
        <w:spacing w:before="0"/>
        <w:ind w:left="20" w:right="20" w:firstLine="280"/>
      </w:pPr>
      <w:r>
        <w:t>Для запобігання скорочення резервів</w:t>
      </w:r>
      <w:r>
        <w:t xml:space="preserve"> Україна має або знову вийти на ринок єврооблігацій, або відновити співпрацю з МВФ, або залучити ресурси з інших джерел. В іншому випадку резервні активи продовжать скорочуватися і з’являться умови для девальвації гривні.Тобто НБУ потрібно вдосконалити мет</w:t>
      </w:r>
      <w:r>
        <w:t>оди управління золотовалютними резервами, оскільки дана критична межа не забезпечить стабільність національної грошової одиниці у довгостроковій перспективі. На нашу думку, НБУ доцільно було б більш якісно використати такий інструмент, як диверсифікація зо</w:t>
      </w:r>
      <w:r>
        <w:t>лотовалютних резервів.</w:t>
      </w:r>
    </w:p>
    <w:p w:rsidR="00916841" w:rsidRDefault="00653561">
      <w:pPr>
        <w:pStyle w:val="a7"/>
        <w:framePr w:w="9082" w:h="12533" w:hRule="exact" w:wrap="around" w:vAnchor="page" w:hAnchor="page" w:x="1432" w:y="1723"/>
        <w:shd w:val="clear" w:color="auto" w:fill="auto"/>
        <w:spacing w:before="0"/>
        <w:ind w:left="20" w:right="20" w:firstLine="280"/>
      </w:pPr>
      <w:r>
        <w:t>Практичний механізм застосування цього інструменту передбачає продаж нестабільних валют і купівлю більш стійких, а також валют, необхідних для проведення міжнародних розрахунків та інтервенцій. Хоча офіційні резерви країн складаються</w:t>
      </w:r>
      <w:r>
        <w:t xml:space="preserve"> з іноземних валют та золота, їх головним компонентом є одна з провідних іноземних валют, яка виконує роль резервної. Сьогодні такою валютою для України залишається долар США [10, с. 339].</w:t>
      </w:r>
    </w:p>
    <w:p w:rsidR="00916841" w:rsidRDefault="00653561">
      <w:pPr>
        <w:pStyle w:val="a7"/>
        <w:framePr w:w="9082" w:h="12533" w:hRule="exact" w:wrap="around" w:vAnchor="page" w:hAnchor="page" w:x="1432" w:y="1723"/>
        <w:shd w:val="clear" w:color="auto" w:fill="auto"/>
        <w:spacing w:before="0"/>
        <w:ind w:left="20" w:right="20" w:firstLine="280"/>
      </w:pPr>
      <w:r>
        <w:t>Попри відсутність розгорнутої інформації про структуру офіційних ва</w:t>
      </w:r>
      <w:r>
        <w:t xml:space="preserve">лютних резервів України (вона надається тільки в загальних цифрах) науковці все ж оцінюють їхній склад та висловлюють власні прогнози. Починаючи з другого півріччя 2011 </w:t>
      </w:r>
      <w:r>
        <w:rPr>
          <w:lang w:val="en-US" w:eastAsia="en-US" w:bidi="en-US"/>
        </w:rPr>
        <w:t xml:space="preserve">p., </w:t>
      </w:r>
      <w:r>
        <w:t>світові центральні банки збільшили свої вкладення в американський долар, який залиш</w:t>
      </w:r>
      <w:r>
        <w:t>ається резервною валютою світу. Очікується, що в найближчий рік курс долара відносно основних валют на міжнародному ринку буде стабільним.</w:t>
      </w:r>
    </w:p>
    <w:p w:rsidR="00916841" w:rsidRDefault="00653561">
      <w:pPr>
        <w:pStyle w:val="a7"/>
        <w:framePr w:w="9082" w:h="12533" w:hRule="exact" w:wrap="around" w:vAnchor="page" w:hAnchor="page" w:x="1432" w:y="1723"/>
        <w:shd w:val="clear" w:color="auto" w:fill="auto"/>
        <w:spacing w:before="0"/>
        <w:ind w:left="20" w:right="20" w:firstLine="280"/>
      </w:pPr>
      <w:r>
        <w:t>Частка долара США у складі золотовалютних резервів НБУ, за оцінками експертів, становить близь</w:t>
      </w:r>
      <w:r>
        <w:softHyphen/>
        <w:t>ко 40%. Зменшившись за</w:t>
      </w:r>
      <w:r>
        <w:t xml:space="preserve"> останні роки, тим не менш, вона залишається доволі високою. Водночас частка євро в резервах підвищилася до 36%. Національний банк відновив купівлю євровалюти. У березні 2013 р. регулятором було придбано 100 млн. євро. У цей період євро знижувався в ціні н</w:t>
      </w:r>
      <w:r>
        <w:t>а світовому валютному ринку і НБУ, ймовірно, порахував відносно низьку його вартість привабливою для покупки. Регулятор, швидше за все, буде підтримувати частку євро в резервних активах не нижче 34%. Частка євро у структурі світових валютних резервів центр</w:t>
      </w:r>
      <w:r>
        <w:t>альних банків за підсумками 4 кварталу 2012 р. становила 23,92%. Це свідчить про те, що НБУ більш оптимістично дивиться на перспективи євровалюти порівняно з іншими центральними банками [11].</w:t>
      </w:r>
    </w:p>
    <w:p w:rsidR="00916841" w:rsidRDefault="00653561">
      <w:pPr>
        <w:pStyle w:val="a7"/>
        <w:framePr w:w="9082" w:h="12533" w:hRule="exact" w:wrap="around" w:vAnchor="page" w:hAnchor="page" w:x="1432" w:y="1723"/>
        <w:shd w:val="clear" w:color="auto" w:fill="auto"/>
        <w:spacing w:before="0"/>
        <w:ind w:left="20" w:right="20" w:firstLine="280"/>
      </w:pPr>
      <w:r>
        <w:t>Аналіз зарубіжного досвіду ефективності управління золотовалютни</w:t>
      </w:r>
      <w:r>
        <w:t>ми резервами, показує що більшість провідних країн світу тримають велику частку у структурі резервів у золоті. Наприклад, у США - 75,7 %, у Німеччині - 72,8. За 2012 р. НБУ купив рекордний обсяг золота (7,4 т) - у два рази більше, ніж за минулих 6 років [1</w:t>
      </w:r>
      <w:r>
        <w:t>2].</w:t>
      </w:r>
    </w:p>
    <w:p w:rsidR="00916841" w:rsidRDefault="00653561">
      <w:pPr>
        <w:pStyle w:val="a7"/>
        <w:framePr w:w="9082" w:h="12533" w:hRule="exact" w:wrap="around" w:vAnchor="page" w:hAnchor="page" w:x="1432" w:y="1723"/>
        <w:shd w:val="clear" w:color="auto" w:fill="auto"/>
        <w:spacing w:before="0"/>
        <w:ind w:left="20" w:right="20" w:firstLine="280"/>
      </w:pPr>
      <w:r>
        <w:t xml:space="preserve">Якщо аналізувати частку золота за станом на квітень 2013 </w:t>
      </w:r>
      <w:r>
        <w:rPr>
          <w:lang w:val="en-US" w:eastAsia="en-US" w:bidi="en-US"/>
        </w:rPr>
        <w:t xml:space="preserve">p., </w:t>
      </w:r>
      <w:r>
        <w:t>то вона становить близько 7%. Це доволі значна частка в структурі золотовалютних резервів і доволі ризикований актив, оскільки ціна на золото має тенденцію до значних коливань (за останній рі</w:t>
      </w:r>
      <w:r>
        <w:t>к вартість золота знизилась більш як на 20% і НБУ зазнав певних втрат).</w:t>
      </w:r>
    </w:p>
    <w:p w:rsidR="00916841" w:rsidRDefault="00653561">
      <w:pPr>
        <w:pStyle w:val="a7"/>
        <w:framePr w:w="9082" w:h="12533" w:hRule="exact" w:wrap="around" w:vAnchor="page" w:hAnchor="page" w:x="1432" w:y="1723"/>
        <w:shd w:val="clear" w:color="auto" w:fill="auto"/>
        <w:spacing w:before="0"/>
        <w:ind w:left="20" w:right="20" w:firstLine="280"/>
      </w:pPr>
      <w:r>
        <w:t>На даний час Китай має найбільші у світі золотовалютні резерви, які становлять еквівалент 3,3 трлн. дол. США, перевищивши таким чином вартість золотого запасу всіх країн світу вдвічі [</w:t>
      </w:r>
      <w:r>
        <w:t>13]. Таке зростання резервів Китаю пояснюється тим, що ця держава є імпортоорієнтованою, оскільки дешев</w:t>
      </w:r>
      <w:r>
        <w:softHyphen/>
        <w:t>ша робоча сила дає змогу продавати товари за відносно меншою ціною, і завдяки цьому відбувається приплив валютної виручки у країну.</w:t>
      </w:r>
    </w:p>
    <w:p w:rsidR="00916841" w:rsidRDefault="00653561">
      <w:pPr>
        <w:pStyle w:val="a7"/>
        <w:framePr w:w="9082" w:h="12533" w:hRule="exact" w:wrap="around" w:vAnchor="page" w:hAnchor="page" w:x="1432" w:y="1723"/>
        <w:shd w:val="clear" w:color="auto" w:fill="auto"/>
        <w:spacing w:before="0"/>
        <w:ind w:left="20" w:right="20" w:firstLine="280"/>
      </w:pPr>
      <w:r>
        <w:t>Скорочення частки ці</w:t>
      </w:r>
      <w:r>
        <w:t xml:space="preserve">нних паперів у структурі резервів НБУ та збільшення в них частки золота та провідних світових валют - це ознака фактичного зростання потенційної вартості золотовалютних резервів. Адже цінні папери, як показав досвід світової фінансової кризи, знецінюються </w:t>
      </w:r>
      <w:r>
        <w:t>набагато швидше дорогоцінних металів чи навіть валют.</w:t>
      </w:r>
    </w:p>
    <w:p w:rsidR="00916841" w:rsidRDefault="00653561">
      <w:pPr>
        <w:pStyle w:val="a7"/>
        <w:framePr w:w="9082" w:h="12533" w:hRule="exact" w:wrap="around" w:vAnchor="page" w:hAnchor="page" w:x="1432" w:y="1723"/>
        <w:shd w:val="clear" w:color="auto" w:fill="auto"/>
        <w:spacing w:before="0"/>
        <w:ind w:left="20" w:right="20" w:firstLine="280"/>
      </w:pPr>
      <w:r>
        <w:t>Основною функцією НБУ є підтримання стабільності національної грошової одиниці, тому він продовжував регулярне проведення інтервенцій як із продажу, так і з купівлі іноземної валюти. Динаміку валютних і</w:t>
      </w:r>
      <w:r>
        <w:t>нтервенцій зображено на рис. 2.</w:t>
      </w:r>
    </w:p>
    <w:p w:rsidR="00916841" w:rsidRDefault="00653561">
      <w:pPr>
        <w:pStyle w:val="a5"/>
        <w:framePr w:wrap="around" w:vAnchor="page" w:hAnchor="page" w:x="1394" w:y="15539"/>
        <w:shd w:val="clear" w:color="auto" w:fill="auto"/>
        <w:spacing w:line="170" w:lineRule="exact"/>
        <w:ind w:left="20"/>
      </w:pPr>
      <w:r>
        <w:t>92</w:t>
      </w:r>
    </w:p>
    <w:p w:rsidR="00916841" w:rsidRDefault="00653561">
      <w:pPr>
        <w:pStyle w:val="24"/>
        <w:framePr w:wrap="around" w:vAnchor="page" w:hAnchor="page" w:x="8325" w:y="15545"/>
        <w:shd w:val="clear" w:color="auto" w:fill="auto"/>
        <w:spacing w:line="130" w:lineRule="exact"/>
        <w:ind w:left="20"/>
      </w:pPr>
      <w:r>
        <w:t>Наука молода № 19, 2013 р.</w:t>
      </w:r>
    </w:p>
    <w:p w:rsidR="00916841" w:rsidRDefault="00916841">
      <w:pPr>
        <w:rPr>
          <w:sz w:val="2"/>
          <w:szCs w:val="2"/>
        </w:rPr>
        <w:sectPr w:rsidR="00916841">
          <w:pgSz w:w="11909" w:h="16838"/>
          <w:pgMar w:top="0" w:right="0" w:bottom="0" w:left="0" w:header="0" w:footer="3" w:gutter="0"/>
          <w:cols w:space="720"/>
          <w:noEndnote/>
          <w:docGrid w:linePitch="360"/>
        </w:sectPr>
      </w:pPr>
    </w:p>
    <w:p w:rsidR="00916841" w:rsidRDefault="00916841">
      <w:pPr>
        <w:rPr>
          <w:sz w:val="2"/>
          <w:szCs w:val="2"/>
        </w:rPr>
      </w:pPr>
      <w:r w:rsidRPr="00916841">
        <w:lastRenderedPageBreak/>
        <w:pict>
          <v:shapetype id="_x0000_t32" coordsize="21600,21600" o:spt="32" o:oned="t" path="m,l21600,21600e" filled="f">
            <v:path arrowok="t" fillok="f" o:connecttype="none"/>
            <o:lock v:ext="edit" shapetype="t"/>
          </v:shapetype>
          <v:shape id="_x0000_s1041" type="#_x0000_t32" style="position:absolute;margin-left:87.7pt;margin-top:332.75pt;width:418.8pt;height:0;z-index:-251662336;mso-position-horizontal-relative:page;mso-position-vertical-relative:page" filled="t" strokeweight=".25pt">
            <v:path arrowok="f" fillok="t" o:connecttype="segments"/>
            <o:lock v:ext="edit" shapetype="f"/>
            <w10:wrap anchorx="page" anchory="page"/>
          </v:shape>
        </w:pict>
      </w:r>
      <w:r w:rsidRPr="00916841">
        <w:pict>
          <v:shape id="_x0000_s1040" type="#_x0000_t32" style="position:absolute;margin-left:87.7pt;margin-top:347.65pt;width:418.8pt;height:0;z-index:-251661312;mso-position-horizontal-relative:page;mso-position-vertical-relative:page" filled="t" strokeweight=".25pt">
            <v:path arrowok="f" fillok="t" o:connecttype="segments"/>
            <o:lock v:ext="edit" shapetype="f"/>
            <w10:wrap anchorx="page" anchory="page"/>
          </v:shape>
        </w:pict>
      </w:r>
      <w:r w:rsidRPr="00916841">
        <w:pict>
          <v:shape id="_x0000_s1039" type="#_x0000_t32" style="position:absolute;margin-left:152.05pt;margin-top:100.65pt;width:0;height:247.2pt;z-index:-251660288;mso-position-horizontal-relative:page;mso-position-vertical-relative:page" filled="t" strokeweight=".5pt">
            <v:path arrowok="f" fillok="t" o:connecttype="segments"/>
            <o:lock v:ext="edit" shapetype="f"/>
            <w10:wrap anchorx="page" anchory="page"/>
          </v:shape>
        </w:pict>
      </w:r>
      <w:r w:rsidRPr="00916841">
        <w:pict>
          <v:shape id="_x0000_s1038" type="#_x0000_t32" style="position:absolute;margin-left:178.7pt;margin-top:100.65pt;width:0;height:204.75pt;z-index:-251659264;mso-position-horizontal-relative:page;mso-position-vertical-relative:page" filled="t" strokeweight=".25pt">
            <v:path arrowok="f" fillok="t" o:connecttype="segments"/>
            <o:lock v:ext="edit" shapetype="f"/>
            <w10:wrap anchorx="page" anchory="page"/>
          </v:shape>
        </w:pict>
      </w:r>
      <w:r w:rsidRPr="00916841">
        <w:pict>
          <v:shape id="_x0000_s1037" type="#_x0000_t32" style="position:absolute;margin-left:206.3pt;margin-top:100.65pt;width:0;height:204.75pt;z-index:-251658240;mso-position-horizontal-relative:page;mso-position-vertical-relative:page" filled="t" strokeweight=".25pt">
            <v:path arrowok="f" fillok="t" o:connecttype="segments"/>
            <o:lock v:ext="edit" shapetype="f"/>
            <w10:wrap anchorx="page" anchory="page"/>
          </v:shape>
        </w:pict>
      </w:r>
      <w:r w:rsidRPr="00916841">
        <w:pict>
          <v:shape id="_x0000_s1036" type="#_x0000_t32" style="position:absolute;margin-left:233.4pt;margin-top:100.65pt;width:0;height:204.75pt;z-index:-251657216;mso-position-horizontal-relative:page;mso-position-vertical-relative:page" filled="t" strokeweight=".25pt">
            <v:path arrowok="f" fillok="t" o:connecttype="segments"/>
            <o:lock v:ext="edit" shapetype="f"/>
            <w10:wrap anchorx="page" anchory="page"/>
          </v:shape>
        </w:pict>
      </w:r>
      <w:r w:rsidRPr="00916841">
        <w:pict>
          <v:shape id="_x0000_s1035" type="#_x0000_t32" style="position:absolute;margin-left:261pt;margin-top:100.65pt;width:0;height:247.2pt;z-index:-251656192;mso-position-horizontal-relative:page;mso-position-vertical-relative:page" filled="t" strokeweight=".25pt">
            <v:path arrowok="f" fillok="t" o:connecttype="segments"/>
            <o:lock v:ext="edit" shapetype="f"/>
            <w10:wrap anchorx="page" anchory="page"/>
          </v:shape>
        </w:pict>
      </w:r>
      <w:r w:rsidRPr="00916841">
        <w:pict>
          <v:shape id="_x0000_s1034" type="#_x0000_t32" style="position:absolute;margin-left:287.9pt;margin-top:100.65pt;width:0;height:204.75pt;z-index:-251655168;mso-position-horizontal-relative:page;mso-position-vertical-relative:page" filled="t" strokeweight=".25pt">
            <v:path arrowok="f" fillok="t" o:connecttype="segments"/>
            <o:lock v:ext="edit" shapetype="f"/>
            <w10:wrap anchorx="page" anchory="page"/>
          </v:shape>
        </w:pict>
      </w:r>
      <w:r w:rsidRPr="00916841">
        <w:pict>
          <v:shape id="_x0000_s1033" type="#_x0000_t32" style="position:absolute;margin-left:315pt;margin-top:100.65pt;width:0;height:204.75pt;z-index:-251654144;mso-position-horizontal-relative:page;mso-position-vertical-relative:page" filled="t" strokeweight=".25pt">
            <v:path arrowok="f" fillok="t" o:connecttype="segments"/>
            <o:lock v:ext="edit" shapetype="f"/>
            <w10:wrap anchorx="page" anchory="page"/>
          </v:shape>
        </w:pict>
      </w:r>
    </w:p>
    <w:p w:rsidR="00916841" w:rsidRDefault="00653561">
      <w:pPr>
        <w:pStyle w:val="a5"/>
        <w:framePr w:wrap="around" w:vAnchor="page" w:hAnchor="page" w:x="5264" w:y="1213"/>
        <w:shd w:val="clear" w:color="auto" w:fill="auto"/>
        <w:spacing w:line="170" w:lineRule="exact"/>
        <w:ind w:left="20"/>
      </w:pPr>
      <w:r>
        <w:t>Перспективи розвитку фінансово-кредитної системи</w:t>
      </w:r>
    </w:p>
    <w:tbl>
      <w:tblPr>
        <w:tblOverlap w:val="never"/>
        <w:tblW w:w="0" w:type="auto"/>
        <w:tblLayout w:type="fixed"/>
        <w:tblCellMar>
          <w:left w:w="10" w:type="dxa"/>
          <w:right w:w="10" w:type="dxa"/>
        </w:tblCellMar>
        <w:tblLook w:val="04A0"/>
      </w:tblPr>
      <w:tblGrid>
        <w:gridCol w:w="432"/>
        <w:gridCol w:w="691"/>
      </w:tblGrid>
      <w:tr w:rsidR="00916841">
        <w:tblPrEx>
          <w:tblCellMar>
            <w:top w:w="0" w:type="dxa"/>
            <w:bottom w:w="0" w:type="dxa"/>
          </w:tblCellMar>
        </w:tblPrEx>
        <w:trPr>
          <w:trHeight w:hRule="exact" w:val="293"/>
        </w:trPr>
        <w:tc>
          <w:tcPr>
            <w:tcW w:w="432" w:type="dxa"/>
            <w:shd w:val="clear" w:color="auto" w:fill="FFFFFF"/>
          </w:tcPr>
          <w:p w:rsidR="00916841" w:rsidRDefault="00916841">
            <w:pPr>
              <w:framePr w:w="1123" w:h="3931" w:wrap="around" w:vAnchor="page" w:hAnchor="page" w:x="1808" w:y="1942"/>
              <w:rPr>
                <w:sz w:val="10"/>
                <w:szCs w:val="10"/>
              </w:rPr>
            </w:pPr>
          </w:p>
        </w:tc>
        <w:tc>
          <w:tcPr>
            <w:tcW w:w="691" w:type="dxa"/>
            <w:shd w:val="clear" w:color="auto" w:fill="FFFFFF"/>
          </w:tcPr>
          <w:p w:rsidR="00916841" w:rsidRDefault="00653561">
            <w:pPr>
              <w:pStyle w:val="a7"/>
              <w:framePr w:w="1123" w:h="3931" w:wrap="around" w:vAnchor="page" w:hAnchor="page" w:x="1808" w:y="1942"/>
              <w:shd w:val="clear" w:color="auto" w:fill="auto"/>
              <w:spacing w:before="0" w:line="140" w:lineRule="exact"/>
              <w:ind w:right="20"/>
              <w:jc w:val="right"/>
            </w:pPr>
            <w:r>
              <w:rPr>
                <w:rStyle w:val="Sylfaen7pt0pt"/>
              </w:rPr>
              <w:t>4000</w:t>
            </w:r>
          </w:p>
        </w:tc>
      </w:tr>
      <w:tr w:rsidR="00916841">
        <w:tblPrEx>
          <w:tblCellMar>
            <w:top w:w="0" w:type="dxa"/>
            <w:bottom w:w="0" w:type="dxa"/>
          </w:tblCellMar>
        </w:tblPrEx>
        <w:trPr>
          <w:trHeight w:hRule="exact" w:val="418"/>
        </w:trPr>
        <w:tc>
          <w:tcPr>
            <w:tcW w:w="432" w:type="dxa"/>
            <w:shd w:val="clear" w:color="auto" w:fill="FFFFFF"/>
          </w:tcPr>
          <w:p w:rsidR="00916841" w:rsidRDefault="00916841">
            <w:pPr>
              <w:framePr w:w="1123" w:h="3931" w:wrap="around" w:vAnchor="page" w:hAnchor="page" w:x="1808" w:y="1942"/>
              <w:rPr>
                <w:sz w:val="10"/>
                <w:szCs w:val="10"/>
              </w:rPr>
            </w:pPr>
          </w:p>
        </w:tc>
        <w:tc>
          <w:tcPr>
            <w:tcW w:w="691" w:type="dxa"/>
            <w:shd w:val="clear" w:color="auto" w:fill="FFFFFF"/>
            <w:vAlign w:val="center"/>
          </w:tcPr>
          <w:p w:rsidR="00916841" w:rsidRDefault="00653561">
            <w:pPr>
              <w:pStyle w:val="a7"/>
              <w:framePr w:w="1123" w:h="3931" w:wrap="around" w:vAnchor="page" w:hAnchor="page" w:x="1808" w:y="1942"/>
              <w:shd w:val="clear" w:color="auto" w:fill="auto"/>
              <w:spacing w:before="0" w:line="140" w:lineRule="exact"/>
              <w:ind w:right="20"/>
              <w:jc w:val="right"/>
            </w:pPr>
            <w:r>
              <w:rPr>
                <w:rStyle w:val="Sylfaen7pt0pt"/>
              </w:rPr>
              <w:t>3000</w:t>
            </w:r>
          </w:p>
        </w:tc>
      </w:tr>
      <w:tr w:rsidR="00916841">
        <w:tblPrEx>
          <w:tblCellMar>
            <w:top w:w="0" w:type="dxa"/>
            <w:bottom w:w="0" w:type="dxa"/>
          </w:tblCellMar>
        </w:tblPrEx>
        <w:trPr>
          <w:trHeight w:hRule="exact" w:val="398"/>
        </w:trPr>
        <w:tc>
          <w:tcPr>
            <w:tcW w:w="432" w:type="dxa"/>
            <w:shd w:val="clear" w:color="auto" w:fill="FFFFFF"/>
          </w:tcPr>
          <w:p w:rsidR="00916841" w:rsidRDefault="00916841">
            <w:pPr>
              <w:framePr w:w="1123" w:h="3931" w:wrap="around" w:vAnchor="page" w:hAnchor="page" w:x="1808" w:y="1942"/>
              <w:rPr>
                <w:sz w:val="10"/>
                <w:szCs w:val="10"/>
              </w:rPr>
            </w:pPr>
          </w:p>
        </w:tc>
        <w:tc>
          <w:tcPr>
            <w:tcW w:w="691" w:type="dxa"/>
            <w:shd w:val="clear" w:color="auto" w:fill="FFFFFF"/>
            <w:vAlign w:val="bottom"/>
          </w:tcPr>
          <w:p w:rsidR="00916841" w:rsidRDefault="00653561">
            <w:pPr>
              <w:pStyle w:val="a7"/>
              <w:framePr w:w="1123" w:h="3931" w:wrap="around" w:vAnchor="page" w:hAnchor="page" w:x="1808" w:y="1942"/>
              <w:shd w:val="clear" w:color="auto" w:fill="auto"/>
              <w:spacing w:before="0" w:line="140" w:lineRule="exact"/>
              <w:ind w:right="20"/>
              <w:jc w:val="right"/>
            </w:pPr>
            <w:r>
              <w:rPr>
                <w:rStyle w:val="Sylfaen7pt0pt"/>
              </w:rPr>
              <w:t>2000</w:t>
            </w:r>
          </w:p>
        </w:tc>
      </w:tr>
      <w:tr w:rsidR="00916841">
        <w:tblPrEx>
          <w:tblCellMar>
            <w:top w:w="0" w:type="dxa"/>
            <w:bottom w:w="0" w:type="dxa"/>
          </w:tblCellMar>
        </w:tblPrEx>
        <w:trPr>
          <w:trHeight w:hRule="exact" w:val="547"/>
        </w:trPr>
        <w:tc>
          <w:tcPr>
            <w:tcW w:w="432" w:type="dxa"/>
            <w:shd w:val="clear" w:color="auto" w:fill="FFFFFF"/>
            <w:textDirection w:val="btLr"/>
          </w:tcPr>
          <w:p w:rsidR="00916841" w:rsidRDefault="00653561">
            <w:pPr>
              <w:pStyle w:val="a7"/>
              <w:framePr w:w="1123" w:h="3931" w:wrap="around" w:vAnchor="page" w:hAnchor="page" w:x="1808" w:y="1942"/>
              <w:shd w:val="clear" w:color="auto" w:fill="auto"/>
              <w:spacing w:before="0" w:line="140" w:lineRule="exact"/>
              <w:ind w:left="40"/>
              <w:jc w:val="left"/>
            </w:pPr>
            <w:r>
              <w:rPr>
                <w:rStyle w:val="Sylfaen7pt0pt"/>
              </w:rPr>
              <w:t>США</w:t>
            </w:r>
          </w:p>
        </w:tc>
        <w:tc>
          <w:tcPr>
            <w:tcW w:w="691" w:type="dxa"/>
            <w:shd w:val="clear" w:color="auto" w:fill="FFFFFF"/>
            <w:vAlign w:val="center"/>
          </w:tcPr>
          <w:p w:rsidR="00916841" w:rsidRDefault="00653561">
            <w:pPr>
              <w:pStyle w:val="a7"/>
              <w:framePr w:w="1123" w:h="3931" w:wrap="around" w:vAnchor="page" w:hAnchor="page" w:x="1808" w:y="1942"/>
              <w:shd w:val="clear" w:color="auto" w:fill="auto"/>
              <w:spacing w:before="0" w:line="140" w:lineRule="exact"/>
              <w:ind w:right="20"/>
              <w:jc w:val="right"/>
            </w:pPr>
            <w:r>
              <w:rPr>
                <w:rStyle w:val="Sylfaen7pt0pt"/>
              </w:rPr>
              <w:t>1000</w:t>
            </w:r>
          </w:p>
        </w:tc>
      </w:tr>
      <w:tr w:rsidR="00916841">
        <w:tblPrEx>
          <w:tblCellMar>
            <w:top w:w="0" w:type="dxa"/>
            <w:bottom w:w="0" w:type="dxa"/>
          </w:tblCellMar>
        </w:tblPrEx>
        <w:trPr>
          <w:trHeight w:hRule="exact" w:val="384"/>
        </w:trPr>
        <w:tc>
          <w:tcPr>
            <w:tcW w:w="432" w:type="dxa"/>
            <w:shd w:val="clear" w:color="auto" w:fill="FFFFFF"/>
            <w:textDirection w:val="btLr"/>
          </w:tcPr>
          <w:p w:rsidR="00916841" w:rsidRDefault="00653561">
            <w:pPr>
              <w:pStyle w:val="a7"/>
              <w:framePr w:w="1123" w:h="3931" w:wrap="around" w:vAnchor="page" w:hAnchor="page" w:x="1808" w:y="1942"/>
              <w:shd w:val="clear" w:color="auto" w:fill="auto"/>
              <w:spacing w:before="0" w:line="140" w:lineRule="exact"/>
              <w:ind w:left="60"/>
              <w:jc w:val="left"/>
            </w:pPr>
            <w:r>
              <w:rPr>
                <w:rStyle w:val="Sylfaen7pt0pt"/>
              </w:rPr>
              <w:t>дол.</w:t>
            </w:r>
          </w:p>
        </w:tc>
        <w:tc>
          <w:tcPr>
            <w:tcW w:w="691" w:type="dxa"/>
            <w:shd w:val="clear" w:color="auto" w:fill="FFFFFF"/>
            <w:vAlign w:val="center"/>
          </w:tcPr>
          <w:p w:rsidR="00916841" w:rsidRDefault="00653561">
            <w:pPr>
              <w:pStyle w:val="a7"/>
              <w:framePr w:w="1123" w:h="3931" w:wrap="around" w:vAnchor="page" w:hAnchor="page" w:x="1808" w:y="1942"/>
              <w:shd w:val="clear" w:color="auto" w:fill="auto"/>
              <w:spacing w:before="0" w:line="140" w:lineRule="exact"/>
              <w:ind w:right="20"/>
              <w:jc w:val="right"/>
            </w:pPr>
            <w:r>
              <w:rPr>
                <w:rStyle w:val="Sylfaen7pt0pt"/>
              </w:rPr>
              <w:t>0</w:t>
            </w:r>
          </w:p>
        </w:tc>
      </w:tr>
      <w:tr w:rsidR="00916841">
        <w:tblPrEx>
          <w:tblCellMar>
            <w:top w:w="0" w:type="dxa"/>
            <w:bottom w:w="0" w:type="dxa"/>
          </w:tblCellMar>
        </w:tblPrEx>
        <w:trPr>
          <w:trHeight w:hRule="exact" w:val="346"/>
        </w:trPr>
        <w:tc>
          <w:tcPr>
            <w:tcW w:w="432" w:type="dxa"/>
            <w:shd w:val="clear" w:color="auto" w:fill="FFFFFF"/>
            <w:vAlign w:val="bottom"/>
          </w:tcPr>
          <w:p w:rsidR="00916841" w:rsidRDefault="00653561">
            <w:pPr>
              <w:pStyle w:val="a7"/>
              <w:framePr w:w="1123" w:h="3931" w:wrap="around" w:vAnchor="page" w:hAnchor="page" w:x="1808" w:y="1942"/>
              <w:shd w:val="clear" w:color="auto" w:fill="auto"/>
              <w:spacing w:before="0" w:line="140" w:lineRule="exact"/>
              <w:ind w:left="60"/>
              <w:jc w:val="left"/>
            </w:pPr>
            <w:r>
              <w:rPr>
                <w:rStyle w:val="Sylfaen7pt0pt"/>
              </w:rPr>
              <w:t>я</w:t>
            </w:r>
          </w:p>
          <w:p w:rsidR="00916841" w:rsidRDefault="00653561">
            <w:pPr>
              <w:pStyle w:val="a7"/>
              <w:framePr w:w="1123" w:h="3931" w:wrap="around" w:vAnchor="page" w:hAnchor="page" w:x="1808" w:y="1942"/>
              <w:shd w:val="clear" w:color="auto" w:fill="auto"/>
              <w:spacing w:before="0" w:line="140" w:lineRule="exact"/>
              <w:ind w:left="60"/>
              <w:jc w:val="left"/>
            </w:pPr>
            <w:r>
              <w:rPr>
                <w:rStyle w:val="Sylfaen7pt0pt"/>
              </w:rPr>
              <w:t>ч</w:t>
            </w:r>
          </w:p>
          <w:p w:rsidR="00916841" w:rsidRDefault="00653561">
            <w:pPr>
              <w:pStyle w:val="a7"/>
              <w:framePr w:w="1123" w:h="3931" w:wrap="around" w:vAnchor="page" w:hAnchor="page" w:x="1808" w:y="1942"/>
              <w:shd w:val="clear" w:color="auto" w:fill="auto"/>
              <w:spacing w:before="0" w:line="140" w:lineRule="exact"/>
              <w:ind w:left="60"/>
              <w:jc w:val="left"/>
            </w:pPr>
            <w:r>
              <w:rPr>
                <w:rStyle w:val="Sylfaen7pt0pt"/>
              </w:rPr>
              <w:t>2</w:t>
            </w:r>
          </w:p>
        </w:tc>
        <w:tc>
          <w:tcPr>
            <w:tcW w:w="691" w:type="dxa"/>
            <w:shd w:val="clear" w:color="auto" w:fill="FFFFFF"/>
            <w:vAlign w:val="center"/>
          </w:tcPr>
          <w:p w:rsidR="00916841" w:rsidRDefault="00653561">
            <w:pPr>
              <w:pStyle w:val="a7"/>
              <w:framePr w:w="1123" w:h="3931" w:wrap="around" w:vAnchor="page" w:hAnchor="page" w:x="1808" w:y="1942"/>
              <w:shd w:val="clear" w:color="auto" w:fill="auto"/>
              <w:spacing w:before="0" w:line="140" w:lineRule="exact"/>
              <w:ind w:right="20"/>
              <w:jc w:val="right"/>
            </w:pPr>
            <w:r>
              <w:rPr>
                <w:rStyle w:val="Sylfaen7pt0pt"/>
              </w:rPr>
              <w:t>-1000</w:t>
            </w:r>
          </w:p>
        </w:tc>
      </w:tr>
      <w:tr w:rsidR="00916841">
        <w:tblPrEx>
          <w:tblCellMar>
            <w:top w:w="0" w:type="dxa"/>
            <w:bottom w:w="0" w:type="dxa"/>
          </w:tblCellMar>
        </w:tblPrEx>
        <w:trPr>
          <w:trHeight w:hRule="exact" w:val="413"/>
        </w:trPr>
        <w:tc>
          <w:tcPr>
            <w:tcW w:w="432" w:type="dxa"/>
            <w:shd w:val="clear" w:color="auto" w:fill="FFFFFF"/>
          </w:tcPr>
          <w:p w:rsidR="00916841" w:rsidRDefault="00916841">
            <w:pPr>
              <w:framePr w:w="1123" w:h="3931" w:wrap="around" w:vAnchor="page" w:hAnchor="page" w:x="1808" w:y="1942"/>
              <w:rPr>
                <w:sz w:val="10"/>
                <w:szCs w:val="10"/>
              </w:rPr>
            </w:pPr>
          </w:p>
        </w:tc>
        <w:tc>
          <w:tcPr>
            <w:tcW w:w="691" w:type="dxa"/>
            <w:shd w:val="clear" w:color="auto" w:fill="FFFFFF"/>
            <w:vAlign w:val="center"/>
          </w:tcPr>
          <w:p w:rsidR="00916841" w:rsidRDefault="00653561">
            <w:pPr>
              <w:pStyle w:val="a7"/>
              <w:framePr w:w="1123" w:h="3931" w:wrap="around" w:vAnchor="page" w:hAnchor="page" w:x="1808" w:y="1942"/>
              <w:shd w:val="clear" w:color="auto" w:fill="auto"/>
              <w:spacing w:before="0" w:line="140" w:lineRule="exact"/>
              <w:ind w:right="20"/>
              <w:jc w:val="right"/>
            </w:pPr>
            <w:r>
              <w:rPr>
                <w:rStyle w:val="Sylfaen7pt0pt"/>
              </w:rPr>
              <w:t>-2000</w:t>
            </w:r>
          </w:p>
        </w:tc>
      </w:tr>
      <w:tr w:rsidR="00916841">
        <w:tblPrEx>
          <w:tblCellMar>
            <w:top w:w="0" w:type="dxa"/>
            <w:bottom w:w="0" w:type="dxa"/>
          </w:tblCellMar>
        </w:tblPrEx>
        <w:trPr>
          <w:trHeight w:hRule="exact" w:val="418"/>
        </w:trPr>
        <w:tc>
          <w:tcPr>
            <w:tcW w:w="432" w:type="dxa"/>
            <w:shd w:val="clear" w:color="auto" w:fill="FFFFFF"/>
          </w:tcPr>
          <w:p w:rsidR="00916841" w:rsidRDefault="00916841">
            <w:pPr>
              <w:framePr w:w="1123" w:h="3931" w:wrap="around" w:vAnchor="page" w:hAnchor="page" w:x="1808" w:y="1942"/>
              <w:rPr>
                <w:sz w:val="10"/>
                <w:szCs w:val="10"/>
              </w:rPr>
            </w:pPr>
          </w:p>
        </w:tc>
        <w:tc>
          <w:tcPr>
            <w:tcW w:w="691" w:type="dxa"/>
            <w:shd w:val="clear" w:color="auto" w:fill="FFFFFF"/>
            <w:vAlign w:val="center"/>
          </w:tcPr>
          <w:p w:rsidR="00916841" w:rsidRDefault="00653561">
            <w:pPr>
              <w:pStyle w:val="a7"/>
              <w:framePr w:w="1123" w:h="3931" w:wrap="around" w:vAnchor="page" w:hAnchor="page" w:x="1808" w:y="1942"/>
              <w:shd w:val="clear" w:color="auto" w:fill="auto"/>
              <w:spacing w:before="0" w:line="140" w:lineRule="exact"/>
              <w:ind w:right="20"/>
              <w:jc w:val="right"/>
            </w:pPr>
            <w:r>
              <w:rPr>
                <w:rStyle w:val="Sylfaen7pt0pt"/>
              </w:rPr>
              <w:t>-3000</w:t>
            </w:r>
          </w:p>
        </w:tc>
      </w:tr>
      <w:tr w:rsidR="00916841">
        <w:tblPrEx>
          <w:tblCellMar>
            <w:top w:w="0" w:type="dxa"/>
            <w:bottom w:w="0" w:type="dxa"/>
          </w:tblCellMar>
        </w:tblPrEx>
        <w:trPr>
          <w:trHeight w:hRule="exact" w:val="418"/>
        </w:trPr>
        <w:tc>
          <w:tcPr>
            <w:tcW w:w="432" w:type="dxa"/>
            <w:shd w:val="clear" w:color="auto" w:fill="FFFFFF"/>
          </w:tcPr>
          <w:p w:rsidR="00916841" w:rsidRDefault="00916841">
            <w:pPr>
              <w:framePr w:w="1123" w:h="3931" w:wrap="around" w:vAnchor="page" w:hAnchor="page" w:x="1808" w:y="1942"/>
              <w:rPr>
                <w:sz w:val="10"/>
                <w:szCs w:val="10"/>
              </w:rPr>
            </w:pPr>
          </w:p>
        </w:tc>
        <w:tc>
          <w:tcPr>
            <w:tcW w:w="691" w:type="dxa"/>
            <w:shd w:val="clear" w:color="auto" w:fill="FFFFFF"/>
            <w:vAlign w:val="center"/>
          </w:tcPr>
          <w:p w:rsidR="00916841" w:rsidRDefault="00653561">
            <w:pPr>
              <w:pStyle w:val="a7"/>
              <w:framePr w:w="1123" w:h="3931" w:wrap="around" w:vAnchor="page" w:hAnchor="page" w:x="1808" w:y="1942"/>
              <w:shd w:val="clear" w:color="auto" w:fill="auto"/>
              <w:spacing w:before="0" w:line="140" w:lineRule="exact"/>
              <w:ind w:right="20"/>
              <w:jc w:val="right"/>
            </w:pPr>
            <w:r>
              <w:rPr>
                <w:rStyle w:val="Sylfaen7pt0pt"/>
              </w:rPr>
              <w:t>-4000</w:t>
            </w:r>
          </w:p>
        </w:tc>
      </w:tr>
      <w:tr w:rsidR="00916841">
        <w:tblPrEx>
          <w:tblCellMar>
            <w:top w:w="0" w:type="dxa"/>
            <w:bottom w:w="0" w:type="dxa"/>
          </w:tblCellMar>
        </w:tblPrEx>
        <w:trPr>
          <w:trHeight w:hRule="exact" w:val="298"/>
        </w:trPr>
        <w:tc>
          <w:tcPr>
            <w:tcW w:w="432" w:type="dxa"/>
            <w:shd w:val="clear" w:color="auto" w:fill="FFFFFF"/>
          </w:tcPr>
          <w:p w:rsidR="00916841" w:rsidRDefault="00916841">
            <w:pPr>
              <w:framePr w:w="1123" w:h="3931" w:wrap="around" w:vAnchor="page" w:hAnchor="page" w:x="1808" w:y="1942"/>
              <w:rPr>
                <w:sz w:val="10"/>
                <w:szCs w:val="10"/>
              </w:rPr>
            </w:pPr>
          </w:p>
        </w:tc>
        <w:tc>
          <w:tcPr>
            <w:tcW w:w="691" w:type="dxa"/>
            <w:shd w:val="clear" w:color="auto" w:fill="FFFFFF"/>
            <w:vAlign w:val="bottom"/>
          </w:tcPr>
          <w:p w:rsidR="00916841" w:rsidRDefault="00653561">
            <w:pPr>
              <w:pStyle w:val="a7"/>
              <w:framePr w:w="1123" w:h="3931" w:wrap="around" w:vAnchor="page" w:hAnchor="page" w:x="1808" w:y="1942"/>
              <w:shd w:val="clear" w:color="auto" w:fill="auto"/>
              <w:spacing w:before="0" w:line="140" w:lineRule="exact"/>
              <w:ind w:right="20"/>
              <w:jc w:val="right"/>
            </w:pPr>
            <w:r>
              <w:rPr>
                <w:rStyle w:val="Sylfaen7pt0pt"/>
              </w:rPr>
              <w:t>-5000</w:t>
            </w:r>
          </w:p>
        </w:tc>
      </w:tr>
    </w:tbl>
    <w:p w:rsidR="00916841" w:rsidRDefault="00653561">
      <w:pPr>
        <w:pStyle w:val="34"/>
        <w:framePr w:w="2093" w:h="658" w:hRule="exact" w:wrap="around" w:vAnchor="page" w:hAnchor="page" w:x="3003" w:y="5739"/>
        <w:shd w:val="clear" w:color="auto" w:fill="auto"/>
        <w:ind w:left="760"/>
      </w:pPr>
      <w:r>
        <w:t xml:space="preserve">І </w:t>
      </w:r>
      <w:r>
        <w:rPr>
          <w:rStyle w:val="355pt0pt"/>
        </w:rPr>
        <w:t xml:space="preserve">КВ </w:t>
      </w:r>
      <w:r>
        <w:t xml:space="preserve">II </w:t>
      </w:r>
      <w:r>
        <w:rPr>
          <w:rStyle w:val="355pt0pt"/>
        </w:rPr>
        <w:t xml:space="preserve">КВ ІІІКВ </w:t>
      </w:r>
      <w:r>
        <w:t xml:space="preserve">IV кв 2010 </w:t>
      </w:r>
      <w:r>
        <w:t>рік</w:t>
      </w:r>
    </w:p>
    <w:p w:rsidR="00916841" w:rsidRDefault="00653561">
      <w:pPr>
        <w:pStyle w:val="34"/>
        <w:framePr w:w="2150" w:h="658" w:hRule="exact" w:wrap="around" w:vAnchor="page" w:hAnchor="page" w:x="5183" w:y="5739"/>
        <w:shd w:val="clear" w:color="auto" w:fill="auto"/>
        <w:ind w:left="760"/>
      </w:pPr>
      <w:r>
        <w:t>Ікв II кв III кв IV кв 2011 рік</w:t>
      </w:r>
    </w:p>
    <w:p w:rsidR="00916841" w:rsidRDefault="00653561">
      <w:pPr>
        <w:pStyle w:val="34"/>
        <w:framePr w:w="2102" w:h="658" w:hRule="exact" w:wrap="around" w:vAnchor="page" w:hAnchor="page" w:x="7410" w:y="5739"/>
        <w:shd w:val="clear" w:color="auto" w:fill="auto"/>
        <w:ind w:left="760"/>
      </w:pPr>
      <w:r>
        <w:t>І кв II кв III кв IV кв 2012 рік</w:t>
      </w:r>
    </w:p>
    <w:p w:rsidR="00916841" w:rsidRDefault="00653561">
      <w:pPr>
        <w:pStyle w:val="50"/>
        <w:framePr w:wrap="around" w:vAnchor="page" w:hAnchor="page" w:x="1775" w:y="6728"/>
        <w:shd w:val="clear" w:color="auto" w:fill="auto"/>
        <w:tabs>
          <w:tab w:val="right" w:pos="2736"/>
          <w:tab w:val="right" w:pos="3360"/>
          <w:tab w:val="right" w:pos="3898"/>
          <w:tab w:val="left" w:pos="4013"/>
        </w:tabs>
        <w:spacing w:line="140" w:lineRule="exact"/>
      </w:pPr>
      <w:r>
        <w:t>Інтервенції НБУ -687 3233,5</w:t>
      </w:r>
      <w:r>
        <w:tab/>
        <w:t>273</w:t>
      </w:r>
      <w:r>
        <w:tab/>
        <w:t>-1492</w:t>
      </w:r>
      <w:r>
        <w:tab/>
        <w:t>498,8</w:t>
      </w:r>
      <w:r>
        <w:tab/>
        <w:t>-299,6 -1922 -2016 - 854,6 -445,8 -2310 -3 8 88</w:t>
      </w:r>
    </w:p>
    <w:p w:rsidR="00916841" w:rsidRDefault="00653561">
      <w:pPr>
        <w:framePr w:wrap="none" w:vAnchor="page" w:hAnchor="page" w:x="9589" w:y="5365"/>
        <w:rPr>
          <w:sz w:val="2"/>
          <w:szCs w:val="2"/>
        </w:rPr>
      </w:pPr>
      <w:r>
        <w:pict>
          <v:shape id="_x0000_i1026" type="#_x0000_t75" style="width:24.75pt;height:80.25pt">
            <v:imagedata r:id="rId9" r:href="rId10"/>
          </v:shape>
        </w:pict>
      </w:r>
    </w:p>
    <w:p w:rsidR="00916841" w:rsidRDefault="00653561">
      <w:pPr>
        <w:pStyle w:val="20"/>
        <w:framePr w:w="9077" w:h="7216" w:hRule="exact" w:wrap="around" w:vAnchor="page" w:hAnchor="page" w:x="1405" w:y="7253"/>
        <w:shd w:val="clear" w:color="auto" w:fill="auto"/>
        <w:spacing w:before="0" w:after="176" w:line="250" w:lineRule="exact"/>
        <w:jc w:val="center"/>
      </w:pPr>
      <w:r>
        <w:rPr>
          <w:rStyle w:val="20pt0"/>
        </w:rPr>
        <w:t xml:space="preserve">Рис. 2. </w:t>
      </w:r>
      <w:r>
        <w:t>Інтервенції Національного банку України (сальдо) у доларовому еквіваленті</w:t>
      </w:r>
      <w:r>
        <w:rPr>
          <w:rStyle w:val="20pt0"/>
        </w:rPr>
        <w:t xml:space="preserve"> [5]</w:t>
      </w:r>
    </w:p>
    <w:p w:rsidR="00916841" w:rsidRDefault="00653561">
      <w:pPr>
        <w:pStyle w:val="a7"/>
        <w:framePr w:w="9077" w:h="7216" w:hRule="exact" w:wrap="around" w:vAnchor="page" w:hAnchor="page" w:x="1405" w:y="7253"/>
        <w:shd w:val="clear" w:color="auto" w:fill="auto"/>
        <w:spacing w:before="0" w:line="254" w:lineRule="exact"/>
        <w:ind w:left="20" w:right="20" w:firstLine="280"/>
      </w:pPr>
      <w:r>
        <w:t xml:space="preserve">Максимального від’ємного значення сальдо валютних інтервенцій набуло у IV кварталі 2012 </w:t>
      </w:r>
      <w:r>
        <w:rPr>
          <w:lang w:val="en-US" w:eastAsia="en-US" w:bidi="en-US"/>
        </w:rPr>
        <w:t xml:space="preserve">p., </w:t>
      </w:r>
      <w:r>
        <w:t xml:space="preserve">оскільки обсяги попиту на іноземну валюту переважали </w:t>
      </w:r>
      <w:r>
        <w:t>обсяги її пропозиції. У жовтні та листопаді спостерігався надмірний попит на іноземну валюту у зв’язку із передвиборчою компанією та недові</w:t>
      </w:r>
      <w:r>
        <w:softHyphen/>
        <w:t xml:space="preserve">рою суб’єктів ринку до гривні, тому гривня знецінилася майже на 3,7%. Загалом у 2012 р. НБУ витратив 7,4 млрд. дол. </w:t>
      </w:r>
      <w:r>
        <w:t>США для підтримки курсу національної валюти (у 2011 р. ця сума становила 3,7 млрд. дол.). У першому кварталі 2013 р. негативне сальдо валютних інтервенцій становило 827,2 млн. дол., що менше на 27,4 млн. дол. порівняно із першим кварталом 2012 р.</w:t>
      </w:r>
    </w:p>
    <w:p w:rsidR="00916841" w:rsidRDefault="00653561">
      <w:pPr>
        <w:pStyle w:val="a7"/>
        <w:framePr w:w="9077" w:h="7216" w:hRule="exact" w:wrap="around" w:vAnchor="page" w:hAnchor="page" w:x="1405" w:y="7253"/>
        <w:shd w:val="clear" w:color="auto" w:fill="auto"/>
        <w:spacing w:before="0" w:line="254" w:lineRule="exact"/>
        <w:ind w:left="20" w:right="20" w:firstLine="280"/>
      </w:pPr>
      <w:r>
        <w:t>Необхідно</w:t>
      </w:r>
      <w:r>
        <w:t xml:space="preserve"> зазначити, що розміри валютних інтервенцій прямо залежать від розмірів міжнародних резервів, тому надлишкове їх використання практично «вимиває» золотовалютні резерви України. Реалізація валютної політики НБУ має перебувати у площині здійснення ним компле</w:t>
      </w:r>
      <w:r>
        <w:t>ксу заходів, які в сукупності дали змогу підтримати курсову стабільність без завдання шкоди ліквідності та фінансової стійкості банківської системи. У цій ситуації оптимальним могло б стати формування відповідних курсових орієнтирів, зокрема у вигляді валю</w:t>
      </w:r>
      <w:r>
        <w:t>тного коридору (3-7%). Крім того, високий рівень невизначеності щодо перспектив валютного курсу визначає валютний ризик щодо вкладень у гривневі активи, що аж ніяк не буде сприяти зростанню інвестицій у реальний сектор економіки. Такий захід дасть змогу зн</w:t>
      </w:r>
      <w:r>
        <w:t>изити навантаження на золотовалютні резерви, а такожзменшить обсяги вилучення гривневої ліквідності через валютні інтервенції. Зміна грошової маси в Україні в останні роки відбува</w:t>
      </w:r>
      <w:r>
        <w:softHyphen/>
        <w:t>ється переважно через валютний ринок, а не через кредитні інструменти банків</w:t>
      </w:r>
      <w:r>
        <w:t>, що негативно позначається на зростанні економіки.</w:t>
      </w:r>
    </w:p>
    <w:p w:rsidR="00916841" w:rsidRDefault="00653561">
      <w:pPr>
        <w:pStyle w:val="a7"/>
        <w:framePr w:w="9077" w:h="7216" w:hRule="exact" w:wrap="around" w:vAnchor="page" w:hAnchor="page" w:x="1405" w:y="7253"/>
        <w:shd w:val="clear" w:color="auto" w:fill="auto"/>
        <w:spacing w:before="0" w:line="254" w:lineRule="exact"/>
        <w:ind w:left="20" w:right="20" w:firstLine="280"/>
      </w:pPr>
      <w:r>
        <w:t>НБУ потрібно здійснювати поетапні кроки щодо переходу до більш гнучкого (ринкового) обмінного курсу. Відсутність гнучкості в курсоутворенні гривні протягом тривалого часу та необхідність переходу до неї є</w:t>
      </w:r>
      <w:r>
        <w:t xml:space="preserve"> однією з основних вимог МВФ, співпраця з яким дала змогу Украіні в 2008-2010 </w:t>
      </w:r>
      <w:r>
        <w:rPr>
          <w:lang w:val="en-US" w:eastAsia="en-US" w:bidi="en-US"/>
        </w:rPr>
        <w:t xml:space="preserve">pp. </w:t>
      </w:r>
      <w:r>
        <w:t>отримати стабілізаційний кредит, спрямований на поповнення міжнародних резервів НБУ та погашення дефіциту державного бюджету.</w:t>
      </w:r>
    </w:p>
    <w:p w:rsidR="00916841" w:rsidRDefault="00653561">
      <w:pPr>
        <w:pStyle w:val="a7"/>
        <w:framePr w:w="9077" w:h="7216" w:hRule="exact" w:wrap="around" w:vAnchor="page" w:hAnchor="page" w:x="1405" w:y="7253"/>
        <w:shd w:val="clear" w:color="auto" w:fill="auto"/>
        <w:spacing w:before="0" w:line="254" w:lineRule="exact"/>
        <w:ind w:left="20" w:firstLine="280"/>
      </w:pPr>
      <w:r>
        <w:t xml:space="preserve">Є такі основні переваги та недоліки фіксованого </w:t>
      </w:r>
      <w:r>
        <w:t>та плаваючих курсів (табл. 1).</w:t>
      </w:r>
    </w:p>
    <w:p w:rsidR="00916841" w:rsidRDefault="00653561">
      <w:pPr>
        <w:pStyle w:val="24"/>
        <w:framePr w:wrap="around" w:vAnchor="page" w:hAnchor="page" w:x="1395" w:y="15469"/>
        <w:shd w:val="clear" w:color="auto" w:fill="auto"/>
        <w:spacing w:line="130" w:lineRule="exact"/>
        <w:ind w:left="20"/>
      </w:pPr>
      <w:r>
        <w:t>Наука молода № 19, 2013 р.</w:t>
      </w:r>
    </w:p>
    <w:p w:rsidR="00916841" w:rsidRDefault="00653561">
      <w:pPr>
        <w:pStyle w:val="a5"/>
        <w:framePr w:wrap="around" w:vAnchor="page" w:hAnchor="page" w:x="10271" w:y="15492"/>
        <w:shd w:val="clear" w:color="auto" w:fill="auto"/>
        <w:spacing w:line="170" w:lineRule="exact"/>
        <w:ind w:left="20"/>
      </w:pPr>
      <w:r>
        <w:t>93</w:t>
      </w:r>
    </w:p>
    <w:p w:rsidR="00916841" w:rsidRDefault="00916841">
      <w:pPr>
        <w:rPr>
          <w:sz w:val="2"/>
          <w:szCs w:val="2"/>
        </w:rPr>
        <w:sectPr w:rsidR="00916841">
          <w:pgSz w:w="11909" w:h="16838"/>
          <w:pgMar w:top="0" w:right="0" w:bottom="0" w:left="0" w:header="0" w:footer="3" w:gutter="0"/>
          <w:cols w:space="720"/>
          <w:noEndnote/>
          <w:docGrid w:linePitch="360"/>
        </w:sectPr>
      </w:pPr>
      <w:r w:rsidRPr="00916841">
        <w:pict>
          <v:shape id="_x0000_s1028" type="#_x0000_t75" style="position:absolute;margin-left:149.15pt;margin-top:100.65pt;width:358.1pt;height:192.95pt;z-index:-251664384;mso-wrap-distance-left:5pt;mso-wrap-distance-right:5pt;mso-position-horizontal-relative:page;mso-position-vertical-relative:page" wrapcoords="0 0">
            <v:imagedata r:id="rId11" o:title="image3"/>
            <w10:wrap anchorx="page" anchory="page"/>
          </v:shape>
        </w:pict>
      </w:r>
    </w:p>
    <w:p w:rsidR="00916841" w:rsidRDefault="00916841">
      <w:pPr>
        <w:rPr>
          <w:sz w:val="2"/>
          <w:szCs w:val="2"/>
        </w:rPr>
      </w:pPr>
      <w:r w:rsidRPr="00916841">
        <w:lastRenderedPageBreak/>
        <w:pict>
          <v:rect id="_x0000_s1031" style="position:absolute;margin-left:207.25pt;margin-top:491.4pt;width:17.3pt;height:21.85pt;z-index:-251663360;mso-position-horizontal-relative:page;mso-position-vertical-relative:page" fillcolor="#7f7f7f" stroked="f">
            <w10:wrap anchorx="page" anchory="page"/>
          </v:rect>
        </w:pict>
      </w:r>
      <w:r w:rsidRPr="00916841">
        <w:pict>
          <v:shape id="_x0000_s1030" type="#_x0000_t32" style="position:absolute;margin-left:84.35pt;margin-top:697.1pt;width:423.35pt;height:0;z-index:-251653120;mso-position-horizontal-relative:page;mso-position-vertical-relative:page" filled="t" strokeweight=".5pt">
            <v:path arrowok="f" fillok="t" o:connecttype="segments"/>
            <o:lock v:ext="edit" shapetype="f"/>
            <w10:wrap anchorx="page" anchory="page"/>
          </v:shape>
        </w:pict>
      </w:r>
    </w:p>
    <w:p w:rsidR="00916841" w:rsidRDefault="00653561">
      <w:pPr>
        <w:pStyle w:val="32"/>
        <w:framePr w:w="2568" w:h="466" w:hRule="exact" w:wrap="around" w:vAnchor="page" w:hAnchor="page" w:x="1405" w:y="1098"/>
        <w:shd w:val="clear" w:color="auto" w:fill="auto"/>
        <w:spacing w:after="38" w:line="150" w:lineRule="exact"/>
        <w:ind w:left="40"/>
      </w:pPr>
      <w:r>
        <w:t>Б. Адамик, А. Скірка</w:t>
      </w:r>
    </w:p>
    <w:p w:rsidR="00916841" w:rsidRDefault="00653561">
      <w:pPr>
        <w:pStyle w:val="a5"/>
        <w:framePr w:w="2568" w:h="466" w:hRule="exact" w:wrap="around" w:vAnchor="page" w:hAnchor="page" w:x="1405" w:y="1098"/>
        <w:shd w:val="clear" w:color="auto" w:fill="auto"/>
        <w:spacing w:line="170" w:lineRule="exact"/>
        <w:ind w:left="40"/>
      </w:pPr>
      <w:r>
        <w:t>Аналіз впливу валютної.</w:t>
      </w:r>
    </w:p>
    <w:p w:rsidR="00916841" w:rsidRDefault="00653561">
      <w:pPr>
        <w:pStyle w:val="a9"/>
        <w:framePr w:w="898" w:h="219" w:hRule="exact" w:wrap="around" w:vAnchor="page" w:hAnchor="page" w:x="9589" w:y="1791"/>
        <w:shd w:val="clear" w:color="auto" w:fill="auto"/>
        <w:spacing w:line="190" w:lineRule="exact"/>
      </w:pPr>
      <w:r>
        <w:t>Таблиця 1</w:t>
      </w:r>
    </w:p>
    <w:p w:rsidR="00916841" w:rsidRDefault="00653561">
      <w:pPr>
        <w:pStyle w:val="a7"/>
        <w:framePr w:w="7555" w:h="211" w:hRule="exact" w:wrap="around" w:vAnchor="page" w:hAnchor="page" w:x="2960" w:y="2192"/>
        <w:shd w:val="clear" w:color="auto" w:fill="auto"/>
        <w:spacing w:before="0" w:line="170" w:lineRule="exact"/>
        <w:ind w:left="100"/>
        <w:jc w:val="left"/>
      </w:pPr>
      <w:r>
        <w:t>Переваги та недоліки фіксованого та плаваючих курсів [14]</w:t>
      </w:r>
    </w:p>
    <w:tbl>
      <w:tblPr>
        <w:tblOverlap w:val="never"/>
        <w:tblW w:w="0" w:type="auto"/>
        <w:tblLayout w:type="fixed"/>
        <w:tblCellMar>
          <w:left w:w="10" w:type="dxa"/>
          <w:right w:w="10" w:type="dxa"/>
        </w:tblCellMar>
        <w:tblLook w:val="04A0"/>
      </w:tblPr>
      <w:tblGrid>
        <w:gridCol w:w="1656"/>
        <w:gridCol w:w="3490"/>
        <w:gridCol w:w="3960"/>
      </w:tblGrid>
      <w:tr w:rsidR="00916841">
        <w:tblPrEx>
          <w:tblCellMar>
            <w:top w:w="0" w:type="dxa"/>
            <w:bottom w:w="0" w:type="dxa"/>
          </w:tblCellMar>
        </w:tblPrEx>
        <w:trPr>
          <w:trHeight w:hRule="exact" w:val="427"/>
        </w:trPr>
        <w:tc>
          <w:tcPr>
            <w:tcW w:w="1656" w:type="dxa"/>
            <w:tcBorders>
              <w:top w:val="single" w:sz="4" w:space="0" w:color="auto"/>
              <w:left w:val="single" w:sz="4" w:space="0" w:color="auto"/>
            </w:tcBorders>
            <w:shd w:val="clear" w:color="auto" w:fill="FFFFFF"/>
            <w:vAlign w:val="center"/>
          </w:tcPr>
          <w:p w:rsidR="00916841" w:rsidRDefault="00653561">
            <w:pPr>
              <w:pStyle w:val="a7"/>
              <w:framePr w:w="9106" w:h="5035" w:wrap="around" w:vAnchor="page" w:hAnchor="page" w:x="1400" w:y="2778"/>
              <w:shd w:val="clear" w:color="auto" w:fill="auto"/>
              <w:spacing w:before="0" w:line="150" w:lineRule="exact"/>
              <w:jc w:val="center"/>
            </w:pPr>
            <w:r>
              <w:rPr>
                <w:rStyle w:val="75pt"/>
              </w:rPr>
              <w:t>Категорія</w:t>
            </w:r>
          </w:p>
        </w:tc>
        <w:tc>
          <w:tcPr>
            <w:tcW w:w="3490" w:type="dxa"/>
            <w:tcBorders>
              <w:top w:val="single" w:sz="4" w:space="0" w:color="auto"/>
              <w:left w:val="single" w:sz="4" w:space="0" w:color="auto"/>
            </w:tcBorders>
            <w:shd w:val="clear" w:color="auto" w:fill="FFFFFF"/>
            <w:vAlign w:val="center"/>
          </w:tcPr>
          <w:p w:rsidR="00916841" w:rsidRDefault="00653561">
            <w:pPr>
              <w:pStyle w:val="a7"/>
              <w:framePr w:w="9106" w:h="5035" w:wrap="around" w:vAnchor="page" w:hAnchor="page" w:x="1400" w:y="2778"/>
              <w:shd w:val="clear" w:color="auto" w:fill="auto"/>
              <w:spacing w:before="0" w:line="150" w:lineRule="exact"/>
              <w:jc w:val="center"/>
            </w:pPr>
            <w:r>
              <w:rPr>
                <w:rStyle w:val="75pt"/>
              </w:rPr>
              <w:t>Фіксований курс</w:t>
            </w:r>
          </w:p>
        </w:tc>
        <w:tc>
          <w:tcPr>
            <w:tcW w:w="3960" w:type="dxa"/>
            <w:tcBorders>
              <w:top w:val="single" w:sz="4" w:space="0" w:color="auto"/>
              <w:left w:val="single" w:sz="4" w:space="0" w:color="auto"/>
              <w:right w:val="single" w:sz="4" w:space="0" w:color="auto"/>
            </w:tcBorders>
            <w:shd w:val="clear" w:color="auto" w:fill="FFFFFF"/>
            <w:vAlign w:val="center"/>
          </w:tcPr>
          <w:p w:rsidR="00916841" w:rsidRDefault="00653561">
            <w:pPr>
              <w:pStyle w:val="a7"/>
              <w:framePr w:w="9106" w:h="5035" w:wrap="around" w:vAnchor="page" w:hAnchor="page" w:x="1400" w:y="2778"/>
              <w:shd w:val="clear" w:color="auto" w:fill="auto"/>
              <w:spacing w:before="0" w:line="150" w:lineRule="exact"/>
              <w:jc w:val="center"/>
            </w:pPr>
            <w:r>
              <w:rPr>
                <w:rStyle w:val="75pt"/>
              </w:rPr>
              <w:t>Плаваючий курс</w:t>
            </w:r>
          </w:p>
        </w:tc>
      </w:tr>
      <w:tr w:rsidR="00916841">
        <w:tblPrEx>
          <w:tblCellMar>
            <w:top w:w="0" w:type="dxa"/>
            <w:bottom w:w="0" w:type="dxa"/>
          </w:tblCellMar>
        </w:tblPrEx>
        <w:trPr>
          <w:trHeight w:hRule="exact" w:val="1685"/>
        </w:trPr>
        <w:tc>
          <w:tcPr>
            <w:tcW w:w="1656" w:type="dxa"/>
            <w:tcBorders>
              <w:top w:val="single" w:sz="4" w:space="0" w:color="auto"/>
              <w:left w:val="single" w:sz="4" w:space="0" w:color="auto"/>
            </w:tcBorders>
            <w:shd w:val="clear" w:color="auto" w:fill="FFFFFF"/>
            <w:vAlign w:val="center"/>
          </w:tcPr>
          <w:p w:rsidR="00916841" w:rsidRDefault="00653561">
            <w:pPr>
              <w:pStyle w:val="a7"/>
              <w:framePr w:w="9106" w:h="5035" w:wrap="around" w:vAnchor="page" w:hAnchor="page" w:x="1400" w:y="2778"/>
              <w:shd w:val="clear" w:color="auto" w:fill="auto"/>
              <w:spacing w:before="0" w:line="206" w:lineRule="exact"/>
              <w:jc w:val="center"/>
            </w:pPr>
            <w:r>
              <w:rPr>
                <w:rStyle w:val="75pt0pt"/>
              </w:rPr>
              <w:t>Грошово-</w:t>
            </w:r>
          </w:p>
          <w:p w:rsidR="00916841" w:rsidRDefault="00653561">
            <w:pPr>
              <w:pStyle w:val="a7"/>
              <w:framePr w:w="9106" w:h="5035" w:wrap="around" w:vAnchor="page" w:hAnchor="page" w:x="1400" w:y="2778"/>
              <w:shd w:val="clear" w:color="auto" w:fill="auto"/>
              <w:spacing w:before="0" w:line="206" w:lineRule="exact"/>
              <w:jc w:val="center"/>
            </w:pPr>
            <w:r>
              <w:rPr>
                <w:rStyle w:val="75pt0pt"/>
              </w:rPr>
              <w:t>кредитна</w:t>
            </w:r>
          </w:p>
          <w:p w:rsidR="00916841" w:rsidRDefault="00653561">
            <w:pPr>
              <w:pStyle w:val="a7"/>
              <w:framePr w:w="9106" w:h="5035" w:wrap="around" w:vAnchor="page" w:hAnchor="page" w:x="1400" w:y="2778"/>
              <w:shd w:val="clear" w:color="auto" w:fill="auto"/>
              <w:spacing w:before="0" w:line="206" w:lineRule="exact"/>
              <w:jc w:val="center"/>
            </w:pPr>
            <w:r>
              <w:rPr>
                <w:rStyle w:val="75pt0pt"/>
              </w:rPr>
              <w:t>політика</w:t>
            </w:r>
          </w:p>
        </w:tc>
        <w:tc>
          <w:tcPr>
            <w:tcW w:w="3490" w:type="dxa"/>
            <w:tcBorders>
              <w:top w:val="single" w:sz="4" w:space="0" w:color="auto"/>
              <w:left w:val="single" w:sz="4" w:space="0" w:color="auto"/>
            </w:tcBorders>
            <w:shd w:val="clear" w:color="auto" w:fill="FFFFFF"/>
            <w:vAlign w:val="center"/>
          </w:tcPr>
          <w:p w:rsidR="00916841" w:rsidRDefault="00653561">
            <w:pPr>
              <w:pStyle w:val="a7"/>
              <w:framePr w:w="9106" w:h="5035" w:wrap="around" w:vAnchor="page" w:hAnchor="page" w:x="1400" w:y="2778"/>
              <w:shd w:val="clear" w:color="auto" w:fill="auto"/>
              <w:spacing w:before="0" w:line="206" w:lineRule="exact"/>
              <w:ind w:left="120"/>
              <w:jc w:val="left"/>
            </w:pPr>
            <w:r>
              <w:rPr>
                <w:rStyle w:val="75pt0pt"/>
              </w:rPr>
              <w:t>Визначається зовнішніми чинниками. Обмежена можливість використання внутрішньої грошово-кредитної політики. Потреба у нарощуванні відносно високих обсягів валютних резервів, необхідних для обмеження коливань курсу</w:t>
            </w:r>
          </w:p>
        </w:tc>
        <w:tc>
          <w:tcPr>
            <w:tcW w:w="3960" w:type="dxa"/>
            <w:tcBorders>
              <w:top w:val="single" w:sz="4" w:space="0" w:color="auto"/>
              <w:left w:val="single" w:sz="4" w:space="0" w:color="auto"/>
              <w:right w:val="single" w:sz="4" w:space="0" w:color="auto"/>
            </w:tcBorders>
            <w:shd w:val="clear" w:color="auto" w:fill="FFFFFF"/>
            <w:vAlign w:val="center"/>
          </w:tcPr>
          <w:p w:rsidR="00916841" w:rsidRDefault="00653561">
            <w:pPr>
              <w:pStyle w:val="a7"/>
              <w:framePr w:w="9106" w:h="5035" w:wrap="around" w:vAnchor="page" w:hAnchor="page" w:x="1400" w:y="2778"/>
              <w:shd w:val="clear" w:color="auto" w:fill="auto"/>
              <w:spacing w:before="0" w:line="206" w:lineRule="exact"/>
              <w:ind w:left="120"/>
              <w:jc w:val="left"/>
            </w:pPr>
            <w:r>
              <w:rPr>
                <w:rStyle w:val="75pt0pt"/>
              </w:rPr>
              <w:t>Грошово-кредитна політик</w:t>
            </w:r>
            <w:r>
              <w:rPr>
                <w:rStyle w:val="75pt0pt"/>
              </w:rPr>
              <w:t>а може вільніше використовуватися як стимулятор зростання в умовах відставання темпів зростання від потенційного прогнозу. Немає потреби у проведенні систематичних інтервенцій на валютному ринку і нарощуванні валютних резервів із цією метою</w:t>
            </w:r>
          </w:p>
        </w:tc>
      </w:tr>
      <w:tr w:rsidR="00916841">
        <w:tblPrEx>
          <w:tblCellMar>
            <w:top w:w="0" w:type="dxa"/>
            <w:bottom w:w="0" w:type="dxa"/>
          </w:tblCellMar>
        </w:tblPrEx>
        <w:trPr>
          <w:trHeight w:hRule="exact" w:val="974"/>
        </w:trPr>
        <w:tc>
          <w:tcPr>
            <w:tcW w:w="1656" w:type="dxa"/>
            <w:tcBorders>
              <w:top w:val="single" w:sz="4" w:space="0" w:color="auto"/>
              <w:left w:val="single" w:sz="4" w:space="0" w:color="auto"/>
            </w:tcBorders>
            <w:shd w:val="clear" w:color="auto" w:fill="FFFFFF"/>
            <w:vAlign w:val="center"/>
          </w:tcPr>
          <w:p w:rsidR="00916841" w:rsidRDefault="00653561">
            <w:pPr>
              <w:pStyle w:val="a7"/>
              <w:framePr w:w="9106" w:h="5035" w:wrap="around" w:vAnchor="page" w:hAnchor="page" w:x="1400" w:y="2778"/>
              <w:shd w:val="clear" w:color="auto" w:fill="auto"/>
              <w:spacing w:before="0" w:line="206" w:lineRule="exact"/>
              <w:jc w:val="center"/>
            </w:pPr>
            <w:r>
              <w:rPr>
                <w:rStyle w:val="75pt0pt"/>
              </w:rPr>
              <w:t xml:space="preserve">Волатильність </w:t>
            </w:r>
            <w:r>
              <w:rPr>
                <w:rStyle w:val="75pt0pt"/>
              </w:rPr>
              <w:t>і спекуляції на валютному ринку</w:t>
            </w:r>
          </w:p>
        </w:tc>
        <w:tc>
          <w:tcPr>
            <w:tcW w:w="3490" w:type="dxa"/>
            <w:tcBorders>
              <w:top w:val="single" w:sz="4" w:space="0" w:color="auto"/>
              <w:left w:val="single" w:sz="4" w:space="0" w:color="auto"/>
            </w:tcBorders>
            <w:shd w:val="clear" w:color="auto" w:fill="FFFFFF"/>
            <w:vAlign w:val="center"/>
          </w:tcPr>
          <w:p w:rsidR="00916841" w:rsidRDefault="00653561">
            <w:pPr>
              <w:pStyle w:val="a7"/>
              <w:framePr w:w="9106" w:h="5035" w:wrap="around" w:vAnchor="page" w:hAnchor="page" w:x="1400" w:y="2778"/>
              <w:shd w:val="clear" w:color="auto" w:fill="auto"/>
              <w:spacing w:before="0" w:line="206" w:lineRule="exact"/>
              <w:ind w:left="120"/>
              <w:jc w:val="left"/>
            </w:pPr>
            <w:r>
              <w:rPr>
                <w:rStyle w:val="75pt0pt"/>
              </w:rPr>
              <w:t>Дає змогу уникнути надмірних коливань, не пов’язаних зі змінами фундаментальних чинників</w:t>
            </w:r>
          </w:p>
        </w:tc>
        <w:tc>
          <w:tcPr>
            <w:tcW w:w="3960" w:type="dxa"/>
            <w:tcBorders>
              <w:top w:val="single" w:sz="4" w:space="0" w:color="auto"/>
              <w:left w:val="single" w:sz="4" w:space="0" w:color="auto"/>
              <w:right w:val="single" w:sz="4" w:space="0" w:color="auto"/>
            </w:tcBorders>
            <w:shd w:val="clear" w:color="auto" w:fill="FFFFFF"/>
            <w:vAlign w:val="center"/>
          </w:tcPr>
          <w:p w:rsidR="00916841" w:rsidRDefault="00653561">
            <w:pPr>
              <w:pStyle w:val="a7"/>
              <w:framePr w:w="9106" w:h="5035" w:wrap="around" w:vAnchor="page" w:hAnchor="page" w:x="1400" w:y="2778"/>
              <w:shd w:val="clear" w:color="auto" w:fill="auto"/>
              <w:spacing w:before="0" w:line="206" w:lineRule="exact"/>
              <w:ind w:left="120"/>
              <w:jc w:val="left"/>
            </w:pPr>
            <w:r>
              <w:rPr>
                <w:rStyle w:val="75pt0pt"/>
              </w:rPr>
              <w:t>Коливання курсу високі, що приваблює спекулянтів на валютний ринок. Спекулятивна атака на резерви неможлива</w:t>
            </w:r>
          </w:p>
        </w:tc>
      </w:tr>
      <w:tr w:rsidR="00916841">
        <w:tblPrEx>
          <w:tblCellMar>
            <w:top w:w="0" w:type="dxa"/>
            <w:bottom w:w="0" w:type="dxa"/>
          </w:tblCellMar>
        </w:tblPrEx>
        <w:trPr>
          <w:trHeight w:hRule="exact" w:val="1210"/>
        </w:trPr>
        <w:tc>
          <w:tcPr>
            <w:tcW w:w="1656" w:type="dxa"/>
            <w:tcBorders>
              <w:top w:val="single" w:sz="4" w:space="0" w:color="auto"/>
              <w:left w:val="single" w:sz="4" w:space="0" w:color="auto"/>
            </w:tcBorders>
            <w:shd w:val="clear" w:color="auto" w:fill="FFFFFF"/>
            <w:vAlign w:val="center"/>
          </w:tcPr>
          <w:p w:rsidR="00916841" w:rsidRDefault="00653561">
            <w:pPr>
              <w:pStyle w:val="a7"/>
              <w:framePr w:w="9106" w:h="5035" w:wrap="around" w:vAnchor="page" w:hAnchor="page" w:x="1400" w:y="2778"/>
              <w:shd w:val="clear" w:color="auto" w:fill="auto"/>
              <w:spacing w:before="0" w:line="206" w:lineRule="exact"/>
              <w:jc w:val="center"/>
            </w:pPr>
            <w:r>
              <w:rPr>
                <w:rStyle w:val="75pt0pt"/>
              </w:rPr>
              <w:t>Вплив на конкуренто</w:t>
            </w:r>
            <w:r>
              <w:rPr>
                <w:rStyle w:val="75pt0pt"/>
              </w:rPr>
              <w:softHyphen/>
            </w:r>
            <w:r>
              <w:rPr>
                <w:rStyle w:val="75pt0pt"/>
              </w:rPr>
              <w:t>спроможність</w:t>
            </w:r>
          </w:p>
        </w:tc>
        <w:tc>
          <w:tcPr>
            <w:tcW w:w="3490" w:type="dxa"/>
            <w:tcBorders>
              <w:top w:val="single" w:sz="4" w:space="0" w:color="auto"/>
              <w:left w:val="single" w:sz="4" w:space="0" w:color="auto"/>
            </w:tcBorders>
            <w:shd w:val="clear" w:color="auto" w:fill="FFFFFF"/>
            <w:vAlign w:val="bottom"/>
          </w:tcPr>
          <w:p w:rsidR="00916841" w:rsidRDefault="00653561">
            <w:pPr>
              <w:pStyle w:val="a7"/>
              <w:framePr w:w="9106" w:h="5035" w:wrap="around" w:vAnchor="page" w:hAnchor="page" w:x="1400" w:y="2778"/>
              <w:shd w:val="clear" w:color="auto" w:fill="auto"/>
              <w:spacing w:before="0" w:line="206" w:lineRule="exact"/>
              <w:ind w:left="120"/>
              <w:jc w:val="left"/>
            </w:pPr>
            <w:r>
              <w:rPr>
                <w:rStyle w:val="75pt0pt"/>
              </w:rPr>
              <w:t>Не дає змоги впливати на цінову конкурентоспроможність. В умовах девальвації в країні-конкуренті можлива втрата частини експортного ринку</w:t>
            </w:r>
          </w:p>
        </w:tc>
        <w:tc>
          <w:tcPr>
            <w:tcW w:w="3960" w:type="dxa"/>
            <w:tcBorders>
              <w:top w:val="single" w:sz="4" w:space="0" w:color="auto"/>
              <w:left w:val="single" w:sz="4" w:space="0" w:color="auto"/>
              <w:right w:val="single" w:sz="4" w:space="0" w:color="auto"/>
            </w:tcBorders>
            <w:shd w:val="clear" w:color="auto" w:fill="FFFFFF"/>
            <w:vAlign w:val="center"/>
          </w:tcPr>
          <w:p w:rsidR="00916841" w:rsidRDefault="00653561">
            <w:pPr>
              <w:pStyle w:val="a7"/>
              <w:framePr w:w="9106" w:h="5035" w:wrap="around" w:vAnchor="page" w:hAnchor="page" w:x="1400" w:y="2778"/>
              <w:shd w:val="clear" w:color="auto" w:fill="auto"/>
              <w:spacing w:before="0" w:line="206" w:lineRule="exact"/>
              <w:ind w:left="120"/>
              <w:jc w:val="left"/>
            </w:pPr>
            <w:r>
              <w:rPr>
                <w:rStyle w:val="75pt0pt"/>
              </w:rPr>
              <w:t>Дає змогу вирівнювати диспропорції, що базуються на конфліктних розбіжностях. Наприклад, обмежує зростанн</w:t>
            </w:r>
            <w:r>
              <w:rPr>
                <w:rStyle w:val="75pt0pt"/>
              </w:rPr>
              <w:t>я негнучких цін</w:t>
            </w:r>
          </w:p>
        </w:tc>
      </w:tr>
      <w:tr w:rsidR="00916841">
        <w:tblPrEx>
          <w:tblCellMar>
            <w:top w:w="0" w:type="dxa"/>
            <w:bottom w:w="0" w:type="dxa"/>
          </w:tblCellMar>
        </w:tblPrEx>
        <w:trPr>
          <w:trHeight w:hRule="exact" w:val="739"/>
        </w:trPr>
        <w:tc>
          <w:tcPr>
            <w:tcW w:w="1656" w:type="dxa"/>
            <w:tcBorders>
              <w:top w:val="single" w:sz="4" w:space="0" w:color="auto"/>
              <w:left w:val="single" w:sz="4" w:space="0" w:color="auto"/>
              <w:bottom w:val="single" w:sz="4" w:space="0" w:color="auto"/>
            </w:tcBorders>
            <w:shd w:val="clear" w:color="auto" w:fill="FFFFFF"/>
            <w:vAlign w:val="center"/>
          </w:tcPr>
          <w:p w:rsidR="00916841" w:rsidRDefault="00653561">
            <w:pPr>
              <w:pStyle w:val="a7"/>
              <w:framePr w:w="9106" w:h="5035" w:wrap="around" w:vAnchor="page" w:hAnchor="page" w:x="1400" w:y="2778"/>
              <w:shd w:val="clear" w:color="auto" w:fill="auto"/>
              <w:spacing w:before="0" w:line="211" w:lineRule="exact"/>
              <w:jc w:val="center"/>
            </w:pPr>
            <w:r>
              <w:rPr>
                <w:rStyle w:val="75pt0pt"/>
              </w:rPr>
              <w:t>Вплив зовнішніх шоків на ВВП</w:t>
            </w:r>
          </w:p>
        </w:tc>
        <w:tc>
          <w:tcPr>
            <w:tcW w:w="3490" w:type="dxa"/>
            <w:tcBorders>
              <w:top w:val="single" w:sz="4" w:space="0" w:color="auto"/>
              <w:left w:val="single" w:sz="4" w:space="0" w:color="auto"/>
              <w:bottom w:val="single" w:sz="4" w:space="0" w:color="auto"/>
            </w:tcBorders>
            <w:shd w:val="clear" w:color="auto" w:fill="FFFFFF"/>
          </w:tcPr>
          <w:p w:rsidR="00916841" w:rsidRDefault="00653561">
            <w:pPr>
              <w:pStyle w:val="a7"/>
              <w:framePr w:w="9106" w:h="5035" w:wrap="around" w:vAnchor="page" w:hAnchor="page" w:x="1400" w:y="2778"/>
              <w:shd w:val="clear" w:color="auto" w:fill="auto"/>
              <w:spacing w:before="0" w:line="206" w:lineRule="exact"/>
              <w:ind w:left="120"/>
              <w:jc w:val="left"/>
            </w:pPr>
            <w:r>
              <w:rPr>
                <w:rStyle w:val="75pt0pt"/>
              </w:rPr>
              <w:t>Зовнішні шоки сприяють значним коливанням ВВП</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bottom"/>
          </w:tcPr>
          <w:p w:rsidR="00916841" w:rsidRDefault="00653561">
            <w:pPr>
              <w:pStyle w:val="a7"/>
              <w:framePr w:w="9106" w:h="5035" w:wrap="around" w:vAnchor="page" w:hAnchor="page" w:x="1400" w:y="2778"/>
              <w:shd w:val="clear" w:color="auto" w:fill="auto"/>
              <w:spacing w:before="0" w:line="206" w:lineRule="exact"/>
              <w:ind w:left="120"/>
              <w:jc w:val="left"/>
            </w:pPr>
            <w:r>
              <w:rPr>
                <w:rStyle w:val="75pt0pt"/>
              </w:rPr>
              <w:t>Позначаються меншою мірою на коливаннях ВВП. Причому йдеться не тільки про позитивні, а й про негативні шоки</w:t>
            </w:r>
          </w:p>
        </w:tc>
      </w:tr>
    </w:tbl>
    <w:p w:rsidR="00916841" w:rsidRDefault="00653561">
      <w:pPr>
        <w:pStyle w:val="a7"/>
        <w:framePr w:w="9115" w:h="793" w:hRule="exact" w:wrap="around" w:vAnchor="page" w:hAnchor="page" w:x="1395" w:y="8228"/>
        <w:shd w:val="clear" w:color="auto" w:fill="auto"/>
        <w:spacing w:before="0"/>
        <w:ind w:left="40" w:right="20" w:firstLine="300"/>
      </w:pPr>
      <w:r>
        <w:t xml:space="preserve">Проте забезпечення стабільності та довіри до курсу </w:t>
      </w:r>
      <w:r>
        <w:t>гривні не може бути лише внаслідок валютних інтервенцій. В процесі реалізації валютної політики важливим напрямом є підтримання рівноваги платіжного балансу. Динаміку платіжного балансу зображено на рис. 3.</w:t>
      </w:r>
    </w:p>
    <w:tbl>
      <w:tblPr>
        <w:tblOverlap w:val="never"/>
        <w:tblW w:w="0" w:type="auto"/>
        <w:tblLayout w:type="fixed"/>
        <w:tblCellMar>
          <w:left w:w="10" w:type="dxa"/>
          <w:right w:w="10" w:type="dxa"/>
        </w:tblCellMar>
        <w:tblLook w:val="04A0"/>
      </w:tblPr>
      <w:tblGrid>
        <w:gridCol w:w="312"/>
        <w:gridCol w:w="864"/>
      </w:tblGrid>
      <w:tr w:rsidR="00916841">
        <w:tblPrEx>
          <w:tblCellMar>
            <w:top w:w="0" w:type="dxa"/>
            <w:bottom w:w="0" w:type="dxa"/>
          </w:tblCellMar>
        </w:tblPrEx>
        <w:trPr>
          <w:trHeight w:hRule="exact" w:val="235"/>
        </w:trPr>
        <w:tc>
          <w:tcPr>
            <w:tcW w:w="312" w:type="dxa"/>
            <w:shd w:val="clear" w:color="auto" w:fill="FFFFFF"/>
          </w:tcPr>
          <w:p w:rsidR="00916841" w:rsidRDefault="00916841">
            <w:pPr>
              <w:framePr w:w="1176" w:h="3782" w:wrap="around" w:vAnchor="page" w:hAnchor="page" w:x="2768" w:y="9522"/>
              <w:rPr>
                <w:sz w:val="10"/>
                <w:szCs w:val="10"/>
              </w:rPr>
            </w:pPr>
          </w:p>
        </w:tc>
        <w:tc>
          <w:tcPr>
            <w:tcW w:w="864" w:type="dxa"/>
            <w:tcBorders>
              <w:right w:val="single" w:sz="4" w:space="0" w:color="auto"/>
            </w:tcBorders>
            <w:shd w:val="clear" w:color="auto" w:fill="FFFFFF"/>
          </w:tcPr>
          <w:p w:rsidR="00916841" w:rsidRDefault="00653561">
            <w:pPr>
              <w:pStyle w:val="a7"/>
              <w:framePr w:w="1176" w:h="3782" w:wrap="around" w:vAnchor="page" w:hAnchor="page" w:x="2768" w:y="9522"/>
              <w:shd w:val="clear" w:color="auto" w:fill="auto"/>
              <w:spacing w:before="0" w:line="160" w:lineRule="exact"/>
              <w:ind w:right="180"/>
              <w:jc w:val="right"/>
            </w:pPr>
            <w:r>
              <w:rPr>
                <w:rStyle w:val="Sylfaen8pt0pt"/>
              </w:rPr>
              <w:t>4 000</w:t>
            </w:r>
          </w:p>
        </w:tc>
      </w:tr>
      <w:tr w:rsidR="00916841">
        <w:tblPrEx>
          <w:tblCellMar>
            <w:top w:w="0" w:type="dxa"/>
            <w:bottom w:w="0" w:type="dxa"/>
          </w:tblCellMar>
        </w:tblPrEx>
        <w:trPr>
          <w:trHeight w:hRule="exact" w:val="346"/>
        </w:trPr>
        <w:tc>
          <w:tcPr>
            <w:tcW w:w="312" w:type="dxa"/>
            <w:shd w:val="clear" w:color="auto" w:fill="FFFFFF"/>
          </w:tcPr>
          <w:p w:rsidR="00916841" w:rsidRDefault="00916841">
            <w:pPr>
              <w:framePr w:w="1176" w:h="3782" w:wrap="around" w:vAnchor="page" w:hAnchor="page" w:x="2768" w:y="9522"/>
              <w:rPr>
                <w:sz w:val="10"/>
                <w:szCs w:val="10"/>
              </w:rPr>
            </w:pPr>
          </w:p>
        </w:tc>
        <w:tc>
          <w:tcPr>
            <w:tcW w:w="864" w:type="dxa"/>
            <w:tcBorders>
              <w:right w:val="single" w:sz="4" w:space="0" w:color="auto"/>
            </w:tcBorders>
            <w:shd w:val="clear" w:color="auto" w:fill="FFFFFF"/>
            <w:vAlign w:val="bottom"/>
          </w:tcPr>
          <w:p w:rsidR="00916841" w:rsidRDefault="00653561">
            <w:pPr>
              <w:pStyle w:val="a7"/>
              <w:framePr w:w="1176" w:h="3782" w:wrap="around" w:vAnchor="page" w:hAnchor="page" w:x="2768" w:y="9522"/>
              <w:shd w:val="clear" w:color="auto" w:fill="auto"/>
              <w:spacing w:before="0" w:line="160" w:lineRule="exact"/>
              <w:ind w:right="180"/>
              <w:jc w:val="right"/>
            </w:pPr>
            <w:r>
              <w:rPr>
                <w:rStyle w:val="Sylfaen8pt0pt"/>
              </w:rPr>
              <w:t>2 000</w:t>
            </w:r>
          </w:p>
        </w:tc>
      </w:tr>
      <w:tr w:rsidR="00916841">
        <w:tblPrEx>
          <w:tblCellMar>
            <w:top w:w="0" w:type="dxa"/>
            <w:bottom w:w="0" w:type="dxa"/>
          </w:tblCellMar>
        </w:tblPrEx>
        <w:trPr>
          <w:trHeight w:hRule="exact" w:val="346"/>
        </w:trPr>
        <w:tc>
          <w:tcPr>
            <w:tcW w:w="312" w:type="dxa"/>
            <w:shd w:val="clear" w:color="auto" w:fill="FFFFFF"/>
          </w:tcPr>
          <w:p w:rsidR="00916841" w:rsidRDefault="00916841">
            <w:pPr>
              <w:framePr w:w="1176" w:h="3782" w:wrap="around" w:vAnchor="page" w:hAnchor="page" w:x="2768" w:y="9522"/>
              <w:rPr>
                <w:sz w:val="10"/>
                <w:szCs w:val="10"/>
              </w:rPr>
            </w:pPr>
          </w:p>
        </w:tc>
        <w:tc>
          <w:tcPr>
            <w:tcW w:w="864" w:type="dxa"/>
            <w:tcBorders>
              <w:right w:val="single" w:sz="4" w:space="0" w:color="auto"/>
            </w:tcBorders>
            <w:shd w:val="clear" w:color="auto" w:fill="FFFFFF"/>
            <w:vAlign w:val="bottom"/>
          </w:tcPr>
          <w:p w:rsidR="00916841" w:rsidRDefault="00653561">
            <w:pPr>
              <w:pStyle w:val="a7"/>
              <w:framePr w:w="1176" w:h="3782" w:wrap="around" w:vAnchor="page" w:hAnchor="page" w:x="2768" w:y="9522"/>
              <w:shd w:val="clear" w:color="auto" w:fill="auto"/>
              <w:spacing w:before="0" w:line="160" w:lineRule="exact"/>
              <w:ind w:right="180"/>
              <w:jc w:val="right"/>
            </w:pPr>
            <w:r>
              <w:rPr>
                <w:rStyle w:val="Sylfaen8pt0pt"/>
              </w:rPr>
              <w:t>0</w:t>
            </w:r>
          </w:p>
        </w:tc>
      </w:tr>
      <w:tr w:rsidR="00916841">
        <w:tblPrEx>
          <w:tblCellMar>
            <w:top w:w="0" w:type="dxa"/>
            <w:bottom w:w="0" w:type="dxa"/>
          </w:tblCellMar>
        </w:tblPrEx>
        <w:trPr>
          <w:trHeight w:hRule="exact" w:val="350"/>
        </w:trPr>
        <w:tc>
          <w:tcPr>
            <w:tcW w:w="312" w:type="dxa"/>
            <w:shd w:val="clear" w:color="auto" w:fill="FFFFFF"/>
            <w:vAlign w:val="bottom"/>
          </w:tcPr>
          <w:p w:rsidR="00916841" w:rsidRDefault="00653561">
            <w:pPr>
              <w:pStyle w:val="a7"/>
              <w:framePr w:w="1176" w:h="3782" w:wrap="around" w:vAnchor="page" w:hAnchor="page" w:x="2768" w:y="9522"/>
              <w:shd w:val="clear" w:color="auto" w:fill="auto"/>
              <w:spacing w:before="0" w:line="160" w:lineRule="exact"/>
              <w:ind w:left="40"/>
              <w:jc w:val="left"/>
            </w:pPr>
            <w:r>
              <w:rPr>
                <w:rStyle w:val="Sylfaen8pt0pt"/>
              </w:rPr>
              <w:t>&lt;</w:t>
            </w:r>
          </w:p>
          <w:p w:rsidR="00916841" w:rsidRDefault="00653561">
            <w:pPr>
              <w:pStyle w:val="a7"/>
              <w:framePr w:w="1176" w:h="3782" w:wrap="around" w:vAnchor="page" w:hAnchor="page" w:x="2768" w:y="9522"/>
              <w:shd w:val="clear" w:color="auto" w:fill="auto"/>
              <w:spacing w:before="0" w:line="160" w:lineRule="exact"/>
              <w:ind w:left="40"/>
              <w:jc w:val="left"/>
            </w:pPr>
            <w:r>
              <w:rPr>
                <w:rStyle w:val="Sylfaen8pt0pt"/>
              </w:rPr>
              <w:t>м</w:t>
            </w:r>
          </w:p>
        </w:tc>
        <w:tc>
          <w:tcPr>
            <w:tcW w:w="864" w:type="dxa"/>
            <w:tcBorders>
              <w:right w:val="single" w:sz="4" w:space="0" w:color="auto"/>
            </w:tcBorders>
            <w:shd w:val="clear" w:color="auto" w:fill="FFFFFF"/>
            <w:vAlign w:val="center"/>
          </w:tcPr>
          <w:p w:rsidR="00916841" w:rsidRDefault="00653561">
            <w:pPr>
              <w:pStyle w:val="a7"/>
              <w:framePr w:w="1176" w:h="3782" w:wrap="around" w:vAnchor="page" w:hAnchor="page" w:x="2768" w:y="9522"/>
              <w:shd w:val="clear" w:color="auto" w:fill="auto"/>
              <w:spacing w:before="0" w:line="160" w:lineRule="exact"/>
              <w:ind w:right="180"/>
              <w:jc w:val="right"/>
            </w:pPr>
            <w:r>
              <w:rPr>
                <w:rStyle w:val="Sylfaen8pt0pt"/>
              </w:rPr>
              <w:t>-2 000</w:t>
            </w:r>
          </w:p>
        </w:tc>
      </w:tr>
      <w:tr w:rsidR="00916841">
        <w:tblPrEx>
          <w:tblCellMar>
            <w:top w:w="0" w:type="dxa"/>
            <w:bottom w:w="0" w:type="dxa"/>
          </w:tblCellMar>
        </w:tblPrEx>
        <w:trPr>
          <w:trHeight w:hRule="exact" w:val="336"/>
        </w:trPr>
        <w:tc>
          <w:tcPr>
            <w:tcW w:w="312" w:type="dxa"/>
            <w:shd w:val="clear" w:color="auto" w:fill="FFFFFF"/>
          </w:tcPr>
          <w:p w:rsidR="00916841" w:rsidRDefault="00653561">
            <w:pPr>
              <w:pStyle w:val="a7"/>
              <w:framePr w:w="1176" w:h="3782" w:wrap="around" w:vAnchor="page" w:hAnchor="page" w:x="2768" w:y="9522"/>
              <w:shd w:val="clear" w:color="auto" w:fill="auto"/>
              <w:spacing w:before="0" w:line="160" w:lineRule="exact"/>
              <w:ind w:left="40"/>
              <w:jc w:val="left"/>
            </w:pPr>
            <w:r>
              <w:rPr>
                <w:rStyle w:val="Sylfaen8pt0pt"/>
                <w:lang w:val="en-US" w:eastAsia="en-US" w:bidi="en-US"/>
              </w:rPr>
              <w:t>U</w:t>
            </w:r>
          </w:p>
          <w:p w:rsidR="00916841" w:rsidRDefault="00653561">
            <w:pPr>
              <w:pStyle w:val="a7"/>
              <w:framePr w:w="1176" w:h="3782" w:wrap="around" w:vAnchor="page" w:hAnchor="page" w:x="2768" w:y="9522"/>
              <w:shd w:val="clear" w:color="auto" w:fill="auto"/>
              <w:spacing w:before="0" w:line="160" w:lineRule="exact"/>
              <w:ind w:left="40"/>
              <w:jc w:val="left"/>
            </w:pPr>
            <w:r>
              <w:rPr>
                <w:rStyle w:val="Sylfaen8pt0pt"/>
              </w:rPr>
              <w:t>о</w:t>
            </w:r>
          </w:p>
        </w:tc>
        <w:tc>
          <w:tcPr>
            <w:tcW w:w="864" w:type="dxa"/>
            <w:tcBorders>
              <w:right w:val="single" w:sz="4" w:space="0" w:color="auto"/>
            </w:tcBorders>
            <w:shd w:val="clear" w:color="auto" w:fill="FFFFFF"/>
            <w:vAlign w:val="center"/>
          </w:tcPr>
          <w:p w:rsidR="00916841" w:rsidRDefault="00653561">
            <w:pPr>
              <w:pStyle w:val="a7"/>
              <w:framePr w:w="1176" w:h="3782" w:wrap="around" w:vAnchor="page" w:hAnchor="page" w:x="2768" w:y="9522"/>
              <w:shd w:val="clear" w:color="auto" w:fill="auto"/>
              <w:spacing w:before="0" w:line="160" w:lineRule="exact"/>
              <w:ind w:right="180"/>
              <w:jc w:val="right"/>
            </w:pPr>
            <w:r>
              <w:rPr>
                <w:rStyle w:val="Sylfaen8pt0pt"/>
              </w:rPr>
              <w:t>-4 000</w:t>
            </w:r>
          </w:p>
        </w:tc>
      </w:tr>
      <w:tr w:rsidR="00916841">
        <w:tblPrEx>
          <w:tblCellMar>
            <w:top w:w="0" w:type="dxa"/>
            <w:bottom w:w="0" w:type="dxa"/>
          </w:tblCellMar>
        </w:tblPrEx>
        <w:trPr>
          <w:trHeight w:hRule="exact" w:val="346"/>
        </w:trPr>
        <w:tc>
          <w:tcPr>
            <w:tcW w:w="312" w:type="dxa"/>
            <w:shd w:val="clear" w:color="auto" w:fill="FFFFFF"/>
          </w:tcPr>
          <w:p w:rsidR="00916841" w:rsidRDefault="00653561">
            <w:pPr>
              <w:pStyle w:val="a7"/>
              <w:framePr w:w="1176" w:h="3782" w:wrap="around" w:vAnchor="page" w:hAnchor="page" w:x="2768" w:y="9522"/>
              <w:shd w:val="clear" w:color="auto" w:fill="auto"/>
              <w:spacing w:before="0" w:line="140" w:lineRule="exact"/>
              <w:ind w:left="40"/>
              <w:jc w:val="left"/>
            </w:pPr>
            <w:r>
              <w:rPr>
                <w:rStyle w:val="Sylfaen7pt0pt"/>
              </w:rPr>
              <w:t>о</w:t>
            </w:r>
          </w:p>
        </w:tc>
        <w:tc>
          <w:tcPr>
            <w:tcW w:w="864" w:type="dxa"/>
            <w:tcBorders>
              <w:right w:val="single" w:sz="4" w:space="0" w:color="auto"/>
            </w:tcBorders>
            <w:shd w:val="clear" w:color="auto" w:fill="FFFFFF"/>
            <w:vAlign w:val="center"/>
          </w:tcPr>
          <w:p w:rsidR="00916841" w:rsidRDefault="00653561">
            <w:pPr>
              <w:pStyle w:val="a7"/>
              <w:framePr w:w="1176" w:h="3782" w:wrap="around" w:vAnchor="page" w:hAnchor="page" w:x="2768" w:y="9522"/>
              <w:shd w:val="clear" w:color="auto" w:fill="auto"/>
              <w:spacing w:before="0" w:line="160" w:lineRule="exact"/>
              <w:ind w:right="180"/>
              <w:jc w:val="right"/>
            </w:pPr>
            <w:r>
              <w:rPr>
                <w:rStyle w:val="Sylfaen8pt0pt"/>
              </w:rPr>
              <w:t xml:space="preserve">-6 </w:t>
            </w:r>
            <w:r>
              <w:rPr>
                <w:rStyle w:val="Sylfaen8pt0pt"/>
              </w:rPr>
              <w:t>000</w:t>
            </w:r>
          </w:p>
        </w:tc>
      </w:tr>
      <w:tr w:rsidR="00916841">
        <w:tblPrEx>
          <w:tblCellMar>
            <w:top w:w="0" w:type="dxa"/>
            <w:bottom w:w="0" w:type="dxa"/>
          </w:tblCellMar>
        </w:tblPrEx>
        <w:trPr>
          <w:trHeight w:hRule="exact" w:val="350"/>
        </w:trPr>
        <w:tc>
          <w:tcPr>
            <w:tcW w:w="312" w:type="dxa"/>
            <w:shd w:val="clear" w:color="auto" w:fill="FFFFFF"/>
            <w:vAlign w:val="center"/>
          </w:tcPr>
          <w:p w:rsidR="00916841" w:rsidRDefault="00653561">
            <w:pPr>
              <w:pStyle w:val="a7"/>
              <w:framePr w:w="1176" w:h="3782" w:wrap="around" w:vAnchor="page" w:hAnchor="page" w:x="2768" w:y="9522"/>
              <w:shd w:val="clear" w:color="auto" w:fill="auto"/>
              <w:spacing w:before="0" w:line="140" w:lineRule="exact"/>
              <w:ind w:left="40"/>
              <w:jc w:val="left"/>
            </w:pPr>
            <w:r>
              <w:rPr>
                <w:rStyle w:val="Sylfaen7pt0pt"/>
              </w:rPr>
              <w:t>ч</w:t>
            </w:r>
          </w:p>
          <w:p w:rsidR="00916841" w:rsidRDefault="00653561">
            <w:pPr>
              <w:pStyle w:val="a7"/>
              <w:framePr w:w="1176" w:h="3782" w:wrap="around" w:vAnchor="page" w:hAnchor="page" w:x="2768" w:y="9522"/>
              <w:shd w:val="clear" w:color="auto" w:fill="auto"/>
              <w:spacing w:before="0" w:line="140" w:lineRule="exact"/>
              <w:ind w:left="40"/>
              <w:jc w:val="left"/>
            </w:pPr>
            <w:r>
              <w:rPr>
                <w:rStyle w:val="Sylfaen7pt0pt"/>
              </w:rPr>
              <w:t>5!</w:t>
            </w:r>
          </w:p>
        </w:tc>
        <w:tc>
          <w:tcPr>
            <w:tcW w:w="864" w:type="dxa"/>
            <w:tcBorders>
              <w:right w:val="single" w:sz="4" w:space="0" w:color="auto"/>
            </w:tcBorders>
            <w:shd w:val="clear" w:color="auto" w:fill="FFFFFF"/>
            <w:vAlign w:val="center"/>
          </w:tcPr>
          <w:p w:rsidR="00916841" w:rsidRDefault="00653561">
            <w:pPr>
              <w:pStyle w:val="a7"/>
              <w:framePr w:w="1176" w:h="3782" w:wrap="around" w:vAnchor="page" w:hAnchor="page" w:x="2768" w:y="9522"/>
              <w:shd w:val="clear" w:color="auto" w:fill="auto"/>
              <w:spacing w:before="0" w:line="160" w:lineRule="exact"/>
              <w:ind w:right="180"/>
              <w:jc w:val="right"/>
            </w:pPr>
            <w:r>
              <w:rPr>
                <w:rStyle w:val="Sylfaen8pt0pt"/>
              </w:rPr>
              <w:t>-8 000</w:t>
            </w:r>
          </w:p>
        </w:tc>
      </w:tr>
      <w:tr w:rsidR="00916841">
        <w:tblPrEx>
          <w:tblCellMar>
            <w:top w:w="0" w:type="dxa"/>
            <w:bottom w:w="0" w:type="dxa"/>
          </w:tblCellMar>
        </w:tblPrEx>
        <w:trPr>
          <w:trHeight w:hRule="exact" w:val="341"/>
        </w:trPr>
        <w:tc>
          <w:tcPr>
            <w:tcW w:w="312" w:type="dxa"/>
            <w:shd w:val="clear" w:color="auto" w:fill="FFFFFF"/>
          </w:tcPr>
          <w:p w:rsidR="00916841" w:rsidRDefault="00916841">
            <w:pPr>
              <w:framePr w:w="1176" w:h="3782" w:wrap="around" w:vAnchor="page" w:hAnchor="page" w:x="2768" w:y="9522"/>
              <w:rPr>
                <w:sz w:val="10"/>
                <w:szCs w:val="10"/>
              </w:rPr>
            </w:pPr>
          </w:p>
        </w:tc>
        <w:tc>
          <w:tcPr>
            <w:tcW w:w="864" w:type="dxa"/>
            <w:tcBorders>
              <w:right w:val="single" w:sz="4" w:space="0" w:color="auto"/>
            </w:tcBorders>
            <w:shd w:val="clear" w:color="auto" w:fill="FFFFFF"/>
            <w:vAlign w:val="center"/>
          </w:tcPr>
          <w:p w:rsidR="00916841" w:rsidRDefault="00653561">
            <w:pPr>
              <w:pStyle w:val="a7"/>
              <w:framePr w:w="1176" w:h="3782" w:wrap="around" w:vAnchor="page" w:hAnchor="page" w:x="2768" w:y="9522"/>
              <w:shd w:val="clear" w:color="auto" w:fill="auto"/>
              <w:spacing w:before="0" w:line="160" w:lineRule="exact"/>
              <w:ind w:right="180"/>
              <w:jc w:val="right"/>
            </w:pPr>
            <w:r>
              <w:rPr>
                <w:rStyle w:val="Sylfaen8pt0pt"/>
              </w:rPr>
              <w:t>-10 000</w:t>
            </w:r>
          </w:p>
        </w:tc>
      </w:tr>
      <w:tr w:rsidR="00916841">
        <w:tblPrEx>
          <w:tblCellMar>
            <w:top w:w="0" w:type="dxa"/>
            <w:bottom w:w="0" w:type="dxa"/>
          </w:tblCellMar>
        </w:tblPrEx>
        <w:trPr>
          <w:trHeight w:hRule="exact" w:val="346"/>
        </w:trPr>
        <w:tc>
          <w:tcPr>
            <w:tcW w:w="312" w:type="dxa"/>
            <w:shd w:val="clear" w:color="auto" w:fill="FFFFFF"/>
          </w:tcPr>
          <w:p w:rsidR="00916841" w:rsidRDefault="00916841">
            <w:pPr>
              <w:framePr w:w="1176" w:h="3782" w:wrap="around" w:vAnchor="page" w:hAnchor="page" w:x="2768" w:y="9522"/>
              <w:rPr>
                <w:sz w:val="10"/>
                <w:szCs w:val="10"/>
              </w:rPr>
            </w:pPr>
          </w:p>
        </w:tc>
        <w:tc>
          <w:tcPr>
            <w:tcW w:w="864" w:type="dxa"/>
            <w:tcBorders>
              <w:right w:val="single" w:sz="4" w:space="0" w:color="auto"/>
            </w:tcBorders>
            <w:shd w:val="clear" w:color="auto" w:fill="FFFFFF"/>
            <w:vAlign w:val="center"/>
          </w:tcPr>
          <w:p w:rsidR="00916841" w:rsidRDefault="00653561">
            <w:pPr>
              <w:pStyle w:val="a7"/>
              <w:framePr w:w="1176" w:h="3782" w:wrap="around" w:vAnchor="page" w:hAnchor="page" w:x="2768" w:y="9522"/>
              <w:shd w:val="clear" w:color="auto" w:fill="auto"/>
              <w:spacing w:before="0" w:line="160" w:lineRule="exact"/>
              <w:ind w:right="180"/>
              <w:jc w:val="right"/>
            </w:pPr>
            <w:r>
              <w:rPr>
                <w:rStyle w:val="Sylfaen8pt0pt"/>
              </w:rPr>
              <w:t>-12 000</w:t>
            </w:r>
          </w:p>
        </w:tc>
      </w:tr>
      <w:tr w:rsidR="00916841">
        <w:tblPrEx>
          <w:tblCellMar>
            <w:top w:w="0" w:type="dxa"/>
            <w:bottom w:w="0" w:type="dxa"/>
          </w:tblCellMar>
        </w:tblPrEx>
        <w:trPr>
          <w:trHeight w:hRule="exact" w:val="346"/>
        </w:trPr>
        <w:tc>
          <w:tcPr>
            <w:tcW w:w="312" w:type="dxa"/>
            <w:shd w:val="clear" w:color="auto" w:fill="FFFFFF"/>
          </w:tcPr>
          <w:p w:rsidR="00916841" w:rsidRDefault="00916841">
            <w:pPr>
              <w:framePr w:w="1176" w:h="3782" w:wrap="around" w:vAnchor="page" w:hAnchor="page" w:x="2768" w:y="9522"/>
              <w:rPr>
                <w:sz w:val="10"/>
                <w:szCs w:val="10"/>
              </w:rPr>
            </w:pPr>
          </w:p>
        </w:tc>
        <w:tc>
          <w:tcPr>
            <w:tcW w:w="864" w:type="dxa"/>
            <w:tcBorders>
              <w:right w:val="single" w:sz="4" w:space="0" w:color="auto"/>
            </w:tcBorders>
            <w:shd w:val="clear" w:color="auto" w:fill="FFFFFF"/>
            <w:vAlign w:val="center"/>
          </w:tcPr>
          <w:p w:rsidR="00916841" w:rsidRDefault="00653561">
            <w:pPr>
              <w:pStyle w:val="a7"/>
              <w:framePr w:w="1176" w:h="3782" w:wrap="around" w:vAnchor="page" w:hAnchor="page" w:x="2768" w:y="9522"/>
              <w:shd w:val="clear" w:color="auto" w:fill="auto"/>
              <w:spacing w:before="0" w:line="160" w:lineRule="exact"/>
              <w:ind w:right="180"/>
              <w:jc w:val="right"/>
            </w:pPr>
            <w:r>
              <w:rPr>
                <w:rStyle w:val="Sylfaen8pt0pt"/>
              </w:rPr>
              <w:t>-14 000</w:t>
            </w:r>
          </w:p>
        </w:tc>
      </w:tr>
      <w:tr w:rsidR="00916841">
        <w:tblPrEx>
          <w:tblCellMar>
            <w:top w:w="0" w:type="dxa"/>
            <w:bottom w:w="0" w:type="dxa"/>
          </w:tblCellMar>
        </w:tblPrEx>
        <w:trPr>
          <w:trHeight w:hRule="exact" w:val="442"/>
        </w:trPr>
        <w:tc>
          <w:tcPr>
            <w:tcW w:w="312" w:type="dxa"/>
            <w:shd w:val="clear" w:color="auto" w:fill="FFFFFF"/>
          </w:tcPr>
          <w:p w:rsidR="00916841" w:rsidRDefault="00916841">
            <w:pPr>
              <w:framePr w:w="1176" w:h="3782" w:wrap="around" w:vAnchor="page" w:hAnchor="page" w:x="2768" w:y="9522"/>
              <w:rPr>
                <w:sz w:val="10"/>
                <w:szCs w:val="10"/>
              </w:rPr>
            </w:pPr>
          </w:p>
        </w:tc>
        <w:tc>
          <w:tcPr>
            <w:tcW w:w="864" w:type="dxa"/>
            <w:tcBorders>
              <w:right w:val="single" w:sz="4" w:space="0" w:color="auto"/>
            </w:tcBorders>
            <w:shd w:val="clear" w:color="auto" w:fill="FFFFFF"/>
            <w:vAlign w:val="center"/>
          </w:tcPr>
          <w:p w:rsidR="00916841" w:rsidRDefault="00653561">
            <w:pPr>
              <w:pStyle w:val="a7"/>
              <w:framePr w:w="1176" w:h="3782" w:wrap="around" w:vAnchor="page" w:hAnchor="page" w:x="2768" w:y="9522"/>
              <w:shd w:val="clear" w:color="auto" w:fill="auto"/>
              <w:spacing w:before="0" w:line="160" w:lineRule="exact"/>
              <w:ind w:right="180"/>
              <w:jc w:val="right"/>
            </w:pPr>
            <w:r>
              <w:rPr>
                <w:rStyle w:val="Sylfaen8pt0pt"/>
              </w:rPr>
              <w:t>-16 000</w:t>
            </w:r>
          </w:p>
        </w:tc>
      </w:tr>
    </w:tbl>
    <w:p w:rsidR="00916841" w:rsidRDefault="00653561">
      <w:pPr>
        <w:pStyle w:val="28"/>
        <w:framePr w:wrap="around" w:vAnchor="page" w:hAnchor="page" w:x="4045" w:y="13117"/>
        <w:shd w:val="clear" w:color="auto" w:fill="auto"/>
        <w:spacing w:line="160" w:lineRule="exact"/>
      </w:pPr>
      <w:r>
        <w:t>2005</w:t>
      </w:r>
    </w:p>
    <w:p w:rsidR="00916841" w:rsidRDefault="00653561">
      <w:pPr>
        <w:pStyle w:val="60"/>
        <w:framePr w:wrap="around" w:vAnchor="page" w:hAnchor="page" w:x="4899" w:y="10256"/>
        <w:shd w:val="clear" w:color="auto" w:fill="auto"/>
        <w:spacing w:line="200" w:lineRule="exact"/>
        <w:ind w:left="100"/>
      </w:pPr>
      <w:r>
        <w:t>и</w:t>
      </w:r>
    </w:p>
    <w:p w:rsidR="00916841" w:rsidRDefault="00653561">
      <w:pPr>
        <w:pStyle w:val="90"/>
        <w:framePr w:wrap="around" w:vAnchor="page" w:hAnchor="page" w:x="4822" w:y="13117"/>
        <w:shd w:val="clear" w:color="auto" w:fill="auto"/>
        <w:spacing w:line="160" w:lineRule="exact"/>
        <w:ind w:left="100"/>
      </w:pPr>
      <w:r>
        <w:t>2006</w:t>
      </w:r>
    </w:p>
    <w:p w:rsidR="00916841" w:rsidRDefault="00653561">
      <w:pPr>
        <w:pStyle w:val="90"/>
        <w:framePr w:wrap="around" w:vAnchor="page" w:hAnchor="page" w:x="5610" w:y="13117"/>
        <w:shd w:val="clear" w:color="auto" w:fill="auto"/>
        <w:spacing w:line="160" w:lineRule="exact"/>
        <w:ind w:left="100"/>
      </w:pPr>
      <w:r>
        <w:t>2007</w:t>
      </w:r>
    </w:p>
    <w:p w:rsidR="00916841" w:rsidRDefault="00653561">
      <w:pPr>
        <w:pStyle w:val="90"/>
        <w:framePr w:wrap="around" w:vAnchor="page" w:hAnchor="page" w:x="6387" w:y="13117"/>
        <w:shd w:val="clear" w:color="auto" w:fill="auto"/>
        <w:spacing w:line="160" w:lineRule="exact"/>
        <w:ind w:left="100"/>
      </w:pPr>
      <w:r>
        <w:t>2008</w:t>
      </w:r>
    </w:p>
    <w:p w:rsidR="00916841" w:rsidRDefault="00653561">
      <w:pPr>
        <w:pStyle w:val="70"/>
        <w:framePr w:wrap="around" w:vAnchor="page" w:hAnchor="page" w:x="7242" w:y="10256"/>
        <w:shd w:val="clear" w:color="auto" w:fill="auto"/>
        <w:spacing w:line="200" w:lineRule="exact"/>
        <w:ind w:left="100"/>
      </w:pPr>
      <w:r>
        <w:t>и</w:t>
      </w:r>
    </w:p>
    <w:p w:rsidR="00916841" w:rsidRDefault="00653561">
      <w:pPr>
        <w:pStyle w:val="101"/>
        <w:framePr w:wrap="around" w:vAnchor="page" w:hAnchor="page" w:x="7155" w:y="13117"/>
        <w:shd w:val="clear" w:color="auto" w:fill="auto"/>
        <w:spacing w:line="140" w:lineRule="exact"/>
        <w:ind w:left="100"/>
      </w:pPr>
      <w:r>
        <w:t>2009</w:t>
      </w:r>
    </w:p>
    <w:p w:rsidR="00916841" w:rsidRDefault="00653561">
      <w:pPr>
        <w:pStyle w:val="80"/>
        <w:framePr w:wrap="around" w:vAnchor="page" w:hAnchor="page" w:x="8029" w:y="10178"/>
        <w:shd w:val="clear" w:color="auto" w:fill="auto"/>
        <w:spacing w:line="800" w:lineRule="exact"/>
        <w:ind w:left="100"/>
      </w:pPr>
      <w:r>
        <w:t>LR</w:t>
      </w:r>
    </w:p>
    <w:p w:rsidR="00916841" w:rsidRDefault="00653561">
      <w:pPr>
        <w:pStyle w:val="90"/>
        <w:framePr w:wrap="around" w:vAnchor="page" w:hAnchor="page" w:x="7933" w:y="13117"/>
        <w:shd w:val="clear" w:color="auto" w:fill="auto"/>
        <w:spacing w:line="160" w:lineRule="exact"/>
        <w:ind w:left="100"/>
      </w:pPr>
      <w:r>
        <w:t>2010</w:t>
      </w:r>
    </w:p>
    <w:p w:rsidR="00916841" w:rsidRDefault="00653561">
      <w:pPr>
        <w:pStyle w:val="90"/>
        <w:framePr w:wrap="around" w:vAnchor="page" w:hAnchor="page" w:x="8720" w:y="13117"/>
        <w:shd w:val="clear" w:color="auto" w:fill="auto"/>
        <w:spacing w:line="160" w:lineRule="exact"/>
        <w:ind w:left="100"/>
      </w:pPr>
      <w:r>
        <w:t>2011</w:t>
      </w:r>
    </w:p>
    <w:p w:rsidR="00916841" w:rsidRDefault="00653561">
      <w:pPr>
        <w:pStyle w:val="90"/>
        <w:framePr w:wrap="around" w:vAnchor="page" w:hAnchor="page" w:x="9498" w:y="13117"/>
        <w:shd w:val="clear" w:color="auto" w:fill="auto"/>
        <w:spacing w:line="160" w:lineRule="exact"/>
        <w:ind w:left="100"/>
      </w:pPr>
      <w:r>
        <w:t>2012</w:t>
      </w:r>
    </w:p>
    <w:p w:rsidR="00916841" w:rsidRDefault="00653561">
      <w:pPr>
        <w:pStyle w:val="110"/>
        <w:framePr w:w="2131" w:h="543" w:hRule="exact" w:wrap="around" w:vAnchor="page" w:hAnchor="page" w:x="1731" w:y="13416"/>
        <w:shd w:val="clear" w:color="auto" w:fill="auto"/>
        <w:ind w:left="280" w:right="100"/>
      </w:pPr>
      <w:r>
        <w:t>□ Платіжний баланс, млн. дол.США</w:t>
      </w:r>
    </w:p>
    <w:p w:rsidR="00916841" w:rsidRDefault="00653561">
      <w:pPr>
        <w:pStyle w:val="90"/>
        <w:framePr w:wrap="around" w:vAnchor="page" w:hAnchor="page" w:x="4035" w:y="13472"/>
        <w:shd w:val="clear" w:color="auto" w:fill="auto"/>
        <w:spacing w:line="160" w:lineRule="exact"/>
        <w:ind w:left="100"/>
      </w:pPr>
      <w:r>
        <w:t>2 531</w:t>
      </w:r>
    </w:p>
    <w:p w:rsidR="00916841" w:rsidRDefault="00653561">
      <w:pPr>
        <w:pStyle w:val="90"/>
        <w:framePr w:wrap="around" w:vAnchor="page" w:hAnchor="page" w:x="4861" w:y="13472"/>
        <w:shd w:val="clear" w:color="auto" w:fill="auto"/>
        <w:spacing w:line="160" w:lineRule="exact"/>
        <w:ind w:left="100"/>
      </w:pPr>
      <w:r>
        <w:t>-1 617</w:t>
      </w:r>
    </w:p>
    <w:p w:rsidR="00916841" w:rsidRDefault="00653561">
      <w:pPr>
        <w:pStyle w:val="90"/>
        <w:framePr w:wrap="around" w:vAnchor="page" w:hAnchor="page" w:x="5638" w:y="13472"/>
        <w:shd w:val="clear" w:color="auto" w:fill="auto"/>
        <w:spacing w:line="160" w:lineRule="exact"/>
        <w:ind w:left="100"/>
      </w:pPr>
      <w:r>
        <w:t>-5 272</w:t>
      </w:r>
    </w:p>
    <w:p w:rsidR="00916841" w:rsidRDefault="00653561">
      <w:pPr>
        <w:pStyle w:val="90"/>
        <w:framePr w:wrap="around" w:vAnchor="page" w:hAnchor="page" w:x="6378" w:y="13472"/>
        <w:shd w:val="clear" w:color="auto" w:fill="auto"/>
        <w:spacing w:line="160" w:lineRule="exact"/>
        <w:ind w:left="100"/>
      </w:pPr>
      <w:r>
        <w:t>-12 763</w:t>
      </w:r>
    </w:p>
    <w:p w:rsidR="00916841" w:rsidRDefault="00653561">
      <w:pPr>
        <w:pStyle w:val="90"/>
        <w:framePr w:wrap="around" w:vAnchor="page" w:hAnchor="page" w:x="7203" w:y="13472"/>
        <w:shd w:val="clear" w:color="auto" w:fill="auto"/>
        <w:spacing w:line="160" w:lineRule="exact"/>
        <w:ind w:left="100"/>
      </w:pPr>
      <w:r>
        <w:t>-1 732</w:t>
      </w:r>
    </w:p>
    <w:p w:rsidR="00916841" w:rsidRDefault="00653561">
      <w:pPr>
        <w:pStyle w:val="90"/>
        <w:framePr w:wrap="around" w:vAnchor="page" w:hAnchor="page" w:x="7962" w:y="13472"/>
        <w:shd w:val="clear" w:color="auto" w:fill="auto"/>
        <w:spacing w:line="160" w:lineRule="exact"/>
        <w:ind w:left="100"/>
      </w:pPr>
      <w:r>
        <w:t>-3 018</w:t>
      </w:r>
    </w:p>
    <w:p w:rsidR="00916841" w:rsidRDefault="00653561">
      <w:pPr>
        <w:pStyle w:val="90"/>
        <w:framePr w:wrap="around" w:vAnchor="page" w:hAnchor="page" w:x="8720" w:y="13472"/>
        <w:shd w:val="clear" w:color="auto" w:fill="auto"/>
        <w:spacing w:line="160" w:lineRule="exact"/>
        <w:ind w:left="100"/>
      </w:pPr>
      <w:r>
        <w:t>-10 245</w:t>
      </w:r>
    </w:p>
    <w:p w:rsidR="00916841" w:rsidRDefault="00653561">
      <w:pPr>
        <w:pStyle w:val="90"/>
        <w:framePr w:wrap="around" w:vAnchor="page" w:hAnchor="page" w:x="9488" w:y="13472"/>
        <w:shd w:val="clear" w:color="auto" w:fill="auto"/>
        <w:spacing w:line="160" w:lineRule="exact"/>
        <w:ind w:left="100"/>
      </w:pPr>
      <w:r>
        <w:t>-14 407</w:t>
      </w:r>
    </w:p>
    <w:p w:rsidR="00916841" w:rsidRDefault="00653561">
      <w:pPr>
        <w:pStyle w:val="20"/>
        <w:framePr w:wrap="around" w:vAnchor="page" w:hAnchor="page" w:x="3426" w:y="14288"/>
        <w:shd w:val="clear" w:color="auto" w:fill="auto"/>
        <w:spacing w:before="0" w:after="0" w:line="170" w:lineRule="exact"/>
        <w:jc w:val="left"/>
      </w:pPr>
      <w:r>
        <w:rPr>
          <w:rStyle w:val="20pt0"/>
        </w:rPr>
        <w:t xml:space="preserve">Рис. 3. </w:t>
      </w:r>
      <w:r>
        <w:t xml:space="preserve">Платіжний баланс України, 2005-2012 </w:t>
      </w:r>
      <w:r>
        <w:rPr>
          <w:lang w:val="en-US" w:eastAsia="en-US" w:bidi="en-US"/>
        </w:rPr>
        <w:t>pp.</w:t>
      </w:r>
      <w:r>
        <w:rPr>
          <w:rStyle w:val="20pt0"/>
          <w:lang w:val="en-US" w:eastAsia="en-US" w:bidi="en-US"/>
        </w:rPr>
        <w:t xml:space="preserve"> </w:t>
      </w:r>
      <w:r>
        <w:rPr>
          <w:rStyle w:val="20pt0"/>
        </w:rPr>
        <w:t>[5]</w:t>
      </w:r>
    </w:p>
    <w:p w:rsidR="00916841" w:rsidRDefault="00653561">
      <w:pPr>
        <w:pStyle w:val="a5"/>
        <w:framePr w:wrap="around" w:vAnchor="page" w:hAnchor="page" w:x="1381" w:y="15588"/>
        <w:shd w:val="clear" w:color="auto" w:fill="auto"/>
        <w:spacing w:line="170" w:lineRule="exact"/>
        <w:ind w:left="20"/>
      </w:pPr>
      <w:r>
        <w:t>94</w:t>
      </w:r>
    </w:p>
    <w:p w:rsidR="00916841" w:rsidRDefault="00653561">
      <w:pPr>
        <w:pStyle w:val="24"/>
        <w:framePr w:wrap="around" w:vAnchor="page" w:hAnchor="page" w:x="8312" w:y="15594"/>
        <w:shd w:val="clear" w:color="auto" w:fill="auto"/>
        <w:spacing w:line="130" w:lineRule="exact"/>
        <w:ind w:left="20"/>
      </w:pPr>
      <w:r>
        <w:t>Наука</w:t>
      </w:r>
      <w:r>
        <w:t xml:space="preserve"> молода № 19, 2013 р.</w:t>
      </w:r>
    </w:p>
    <w:p w:rsidR="00916841" w:rsidRDefault="00916841">
      <w:pPr>
        <w:rPr>
          <w:sz w:val="2"/>
          <w:szCs w:val="2"/>
        </w:rPr>
        <w:sectPr w:rsidR="00916841">
          <w:pgSz w:w="11909" w:h="16838"/>
          <w:pgMar w:top="0" w:right="0" w:bottom="0" w:left="0" w:header="0" w:footer="3" w:gutter="0"/>
          <w:cols w:space="720"/>
          <w:noEndnote/>
          <w:docGrid w:linePitch="360"/>
        </w:sectPr>
      </w:pPr>
    </w:p>
    <w:p w:rsidR="00916841" w:rsidRDefault="00653561">
      <w:pPr>
        <w:pStyle w:val="a5"/>
        <w:framePr w:wrap="around" w:vAnchor="page" w:hAnchor="page" w:x="5439" w:y="1333"/>
        <w:shd w:val="clear" w:color="auto" w:fill="auto"/>
        <w:spacing w:line="170" w:lineRule="exact"/>
        <w:ind w:left="20"/>
      </w:pPr>
      <w:r>
        <w:lastRenderedPageBreak/>
        <w:t>Перспективи розвитку фінансово-кредитної системи</w:t>
      </w:r>
    </w:p>
    <w:p w:rsidR="00916841" w:rsidRDefault="00653561">
      <w:pPr>
        <w:pStyle w:val="a7"/>
        <w:framePr w:w="9091" w:h="12278" w:hRule="exact" w:wrap="around" w:vAnchor="page" w:hAnchor="page" w:x="1570" w:y="1740"/>
        <w:shd w:val="clear" w:color="auto" w:fill="auto"/>
        <w:spacing w:before="0" w:line="259" w:lineRule="exact"/>
        <w:ind w:left="20" w:right="20" w:firstLine="280"/>
      </w:pPr>
      <w:r>
        <w:t>Розгортання фінансової кризи у 2011 р. призвело до посилення боргових проблем багатьох країн світу та виникнення глобальної боргової кризи у 2012 р. Більшість краї</w:t>
      </w:r>
      <w:r>
        <w:t>н переглядають свої бюджети у напрямку скорочення видатків, що призводить до зниження сукупного світового попиту. Внаслідок цього потерпають насамперед країни, економіка яких зорієнтована на експорт продукції із низьким рівнем переробки. До таких країн нал</w:t>
      </w:r>
      <w:r>
        <w:t>ежить і Україна. Падіння темпів зростання товарної структури вітчизняного експорту вплинуло на обсяги надходження іноземної валюти на внутрішній ринок [15].</w:t>
      </w:r>
    </w:p>
    <w:p w:rsidR="00916841" w:rsidRDefault="00653561">
      <w:pPr>
        <w:pStyle w:val="a7"/>
        <w:framePr w:w="9091" w:h="12278" w:hRule="exact" w:wrap="around" w:vAnchor="page" w:hAnchor="page" w:x="1570" w:y="1740"/>
        <w:shd w:val="clear" w:color="auto" w:fill="auto"/>
        <w:spacing w:before="0" w:line="259" w:lineRule="exact"/>
        <w:ind w:left="20" w:right="20" w:firstLine="280"/>
      </w:pPr>
      <w:r>
        <w:t xml:space="preserve">У 2012 р. спостерігалося максимальне від’ємне сальдо рахунку поточних операцій платіжного балансу, </w:t>
      </w:r>
      <w:r>
        <w:t>яке становило 14,4 млрд. дол. США, що більше на 4,1 млрд. дол., або на 40,6% порівняно з 2011 р. Дефіцит зведеного балансу становив 4,2 млрд. дол. США. Головним чинником цього було збільшення від’ємного сальдо торгівлі товарами до 20,5 млрд. дол. порівняно</w:t>
      </w:r>
      <w:r>
        <w:t xml:space="preserve"> з 16,3 млрд. дол. у 2011 р. В умовах несприятливої кон’юнктури насвітовихтоварнихринкахі відповідного уповільнення темпів зростання експорту товарів (до 0,6%) високі інвестиційні потреби української економіки та зростання купівельної спроможності населенн</w:t>
      </w:r>
      <w:r>
        <w:t xml:space="preserve">я зумовлювали продовження зростання імпорту товарів вищими темпами (5,4%). Експорт товарів у 2012 р. становив 69,8 млрд. дол., що на 0,6% більше, ніж у 2011 р. За товарними групами найбільше падіння спостерігалося для експорту таких сировинних товарів, як </w:t>
      </w:r>
      <w:r>
        <w:t>продукція металургії та хімії (на 14,6% та 3,1% відповідно). Імпорт товарів у 2012 р. збільшився на 5,4% - до 90,3 млрд. дол. США. За товарними групами більше половини приросту імпорту забезпечило зростання поставок продукції машинобудування (на 12,1%). Ос</w:t>
      </w:r>
      <w:r>
        <w:t>обливо високі темпи зростання імпорту спостерігалися в першому півріччі 2012 р. - на 32,0% [16].</w:t>
      </w:r>
    </w:p>
    <w:p w:rsidR="00916841" w:rsidRDefault="00653561">
      <w:pPr>
        <w:pStyle w:val="a7"/>
        <w:framePr w:w="9091" w:h="12278" w:hRule="exact" w:wrap="around" w:vAnchor="page" w:hAnchor="page" w:x="1570" w:y="1740"/>
        <w:shd w:val="clear" w:color="auto" w:fill="auto"/>
        <w:spacing w:before="0" w:line="259" w:lineRule="exact"/>
        <w:ind w:left="20" w:right="20" w:firstLine="280"/>
      </w:pPr>
      <w:r>
        <w:t>У першому кварталі 2013 р. від’ємне сальдо рахунку поточних операцій платіжного балансу становило 1,7 млрд. дол. США. Експорт товарів знизився на 9,7% у річном</w:t>
      </w:r>
      <w:r>
        <w:t>у вимірі (до 5,4 млрд. дол.). Відбулося зменшення експорту продовольчих товарів на 13,4%. Не сталося очікуваного пожвавлення попиту на світових ринках сировинної продукції. Експортні поставки металургійної продукції скоротилися на 6,2% у річному вимірі (зо</w:t>
      </w:r>
      <w:r>
        <w:t>крема чорних металів на 4,6%), хімічної продук</w:t>
      </w:r>
      <w:r>
        <w:softHyphen/>
        <w:t>ції - на 26,5% [8].</w:t>
      </w:r>
    </w:p>
    <w:p w:rsidR="00916841" w:rsidRDefault="00653561">
      <w:pPr>
        <w:pStyle w:val="a7"/>
        <w:framePr w:w="9091" w:h="12278" w:hRule="exact" w:wrap="around" w:vAnchor="page" w:hAnchor="page" w:x="1570" w:y="1740"/>
        <w:shd w:val="clear" w:color="auto" w:fill="auto"/>
        <w:spacing w:before="0" w:line="259" w:lineRule="exact"/>
        <w:ind w:left="20" w:right="20" w:firstLine="280"/>
      </w:pPr>
      <w:r>
        <w:t>Як свідчать дослідження, від’ємне сальдо платіжного балансу порушує рівновагу між попитом і пропозицією на іноземну валюту. Нестача валютних коштів та неможливість оплатити імпорт національ</w:t>
      </w:r>
      <w:r>
        <w:t>ною грошовою одиницею призводять до різкого знецінення національних грошей. У таких випадках у власників іноземної валюти виникає ще більш потужний стимул всіляко уникати її продажу на ринку, що лише поглиблює її дефіцит [15].</w:t>
      </w:r>
    </w:p>
    <w:p w:rsidR="00916841" w:rsidRDefault="00653561">
      <w:pPr>
        <w:pStyle w:val="a7"/>
        <w:framePr w:w="9091" w:h="12278" w:hRule="exact" w:wrap="around" w:vAnchor="page" w:hAnchor="page" w:x="1570" w:y="1740"/>
        <w:shd w:val="clear" w:color="auto" w:fill="auto"/>
        <w:spacing w:before="0" w:line="259" w:lineRule="exact"/>
        <w:ind w:left="20" w:right="20" w:firstLine="280"/>
      </w:pPr>
      <w:r>
        <w:t xml:space="preserve">На нашу думку, НБУ потрібно </w:t>
      </w:r>
      <w:r>
        <w:t>розробити певний механізм, завдяки якому відбувалося б зростання реального сектору економіки України та ВВП (у 2012 р. реальний ВВП збільшився лише на 0,2 % [6]). Одним із підходів може бути створення спеціалізованого державного банку, метою діяльності яко</w:t>
      </w:r>
      <w:r>
        <w:t>го був би розвиток пріоритетних галузей економіки, здатних забезпечити економічне зростання. Джере</w:t>
      </w:r>
      <w:r>
        <w:softHyphen/>
        <w:t>лами фінансування кредитних програм такого банку можуть бути власні кошти, кошти іноземних інвесторів або кошти, отримані від міжнародних організацій. Кошти,</w:t>
      </w:r>
      <w:r>
        <w:t xml:space="preserve"> отримані від МВФ, мали б спрямо</w:t>
      </w:r>
      <w:r>
        <w:softHyphen/>
        <w:t>вуватися на розвиток економіки та реального сектору, а не витрачатися на здійснення масштабних від’ємних інтервенцій. Також Україні потрібні: заміщення імпорту вітчизняними товарами, посилення якості та конкурентоспроможнос</w:t>
      </w:r>
      <w:r>
        <w:t xml:space="preserve">ті експортної продукції, щоб вона мала попит на світових ринках; диверсифікація каналів купівлі стратегічно важливих ресурсів, таких як газ; заохочення припливу інвестиційного капіталу та прямих іноземних інвестицій шляхом стабілізації політичної ситуації </w:t>
      </w:r>
      <w:r>
        <w:t>та покращення інвестиційного клімату в країні.</w:t>
      </w:r>
    </w:p>
    <w:p w:rsidR="00916841" w:rsidRDefault="00653561">
      <w:pPr>
        <w:pStyle w:val="a7"/>
        <w:framePr w:w="9091" w:h="12278" w:hRule="exact" w:wrap="around" w:vAnchor="page" w:hAnchor="page" w:x="1570" w:y="1740"/>
        <w:shd w:val="clear" w:color="auto" w:fill="auto"/>
        <w:spacing w:before="0" w:line="259" w:lineRule="exact"/>
        <w:ind w:left="20" w:right="20" w:firstLine="280"/>
      </w:pPr>
      <w:r>
        <w:t>Розвиваючи реальний сектор і зменшуючи від’ємне сальдо платіжного балансу, можна мінімізувати витрачання золотовалютних резервів на його покриття, стабілізувати курсоутворення і тим самим повернути довіру до г</w:t>
      </w:r>
      <w:r>
        <w:t>ривні суб’єктів ринку.</w:t>
      </w:r>
    </w:p>
    <w:p w:rsidR="00916841" w:rsidRDefault="00653561">
      <w:pPr>
        <w:pStyle w:val="a7"/>
        <w:framePr w:w="9091" w:h="12278" w:hRule="exact" w:wrap="around" w:vAnchor="page" w:hAnchor="page" w:x="1570" w:y="1740"/>
        <w:shd w:val="clear" w:color="auto" w:fill="auto"/>
        <w:spacing w:before="0" w:line="259" w:lineRule="exact"/>
        <w:ind w:left="20" w:right="20" w:firstLine="280"/>
      </w:pPr>
      <w:r>
        <w:t>Як відомо, також: на стабільність курсу гривні істотно впливає рівень фінансової доларизації економіки України. Динаміку депозитів та рівня доларизації наведено у табл. 2.</w:t>
      </w:r>
    </w:p>
    <w:p w:rsidR="00916841" w:rsidRDefault="00653561">
      <w:pPr>
        <w:pStyle w:val="24"/>
        <w:framePr w:wrap="around" w:vAnchor="page" w:hAnchor="page" w:x="1560" w:y="15589"/>
        <w:shd w:val="clear" w:color="auto" w:fill="auto"/>
        <w:spacing w:line="130" w:lineRule="exact"/>
        <w:ind w:left="20"/>
      </w:pPr>
      <w:r>
        <w:t>Наука молода № 19, 2013 р.</w:t>
      </w:r>
    </w:p>
    <w:p w:rsidR="00916841" w:rsidRDefault="00653561">
      <w:pPr>
        <w:pStyle w:val="a5"/>
        <w:framePr w:wrap="around" w:vAnchor="page" w:hAnchor="page" w:x="10436" w:y="15612"/>
        <w:shd w:val="clear" w:color="auto" w:fill="auto"/>
        <w:spacing w:line="170" w:lineRule="exact"/>
        <w:ind w:left="20"/>
      </w:pPr>
      <w:r>
        <w:t>95</w:t>
      </w:r>
    </w:p>
    <w:p w:rsidR="00916841" w:rsidRDefault="00916841">
      <w:pPr>
        <w:rPr>
          <w:sz w:val="2"/>
          <w:szCs w:val="2"/>
        </w:rPr>
        <w:sectPr w:rsidR="00916841">
          <w:pgSz w:w="11909" w:h="16838"/>
          <w:pgMar w:top="0" w:right="0" w:bottom="0" w:left="0" w:header="0" w:footer="3" w:gutter="0"/>
          <w:cols w:space="720"/>
          <w:noEndnote/>
          <w:docGrid w:linePitch="360"/>
        </w:sectPr>
      </w:pPr>
    </w:p>
    <w:p w:rsidR="00916841" w:rsidRDefault="00653561">
      <w:pPr>
        <w:pStyle w:val="32"/>
        <w:framePr w:w="2678" w:h="466" w:hRule="exact" w:wrap="around" w:vAnchor="page" w:hAnchor="page" w:x="1553" w:y="1078"/>
        <w:shd w:val="clear" w:color="auto" w:fill="auto"/>
        <w:spacing w:after="38" w:line="150" w:lineRule="exact"/>
        <w:ind w:left="40"/>
      </w:pPr>
      <w:r>
        <w:lastRenderedPageBreak/>
        <w:t>Б. Адамик</w:t>
      </w:r>
      <w:r>
        <w:t>, А. Скірка</w:t>
      </w:r>
    </w:p>
    <w:p w:rsidR="00916841" w:rsidRDefault="00653561">
      <w:pPr>
        <w:pStyle w:val="a5"/>
        <w:framePr w:w="2678" w:h="466" w:hRule="exact" w:wrap="around" w:vAnchor="page" w:hAnchor="page" w:x="1553" w:y="1078"/>
        <w:shd w:val="clear" w:color="auto" w:fill="auto"/>
        <w:spacing w:line="170" w:lineRule="exact"/>
        <w:ind w:left="40"/>
      </w:pPr>
      <w:r>
        <w:t>Аналіз впливу валютної...</w:t>
      </w:r>
    </w:p>
    <w:p w:rsidR="00916841" w:rsidRDefault="00653561">
      <w:pPr>
        <w:pStyle w:val="a9"/>
        <w:framePr w:w="907" w:h="279" w:hRule="exact" w:wrap="around" w:vAnchor="page" w:hAnchor="page" w:x="9747" w:y="1723"/>
        <w:shd w:val="clear" w:color="auto" w:fill="auto"/>
        <w:spacing w:line="250" w:lineRule="exact"/>
      </w:pPr>
      <w:r>
        <w:t>Таблиця 2</w:t>
      </w:r>
    </w:p>
    <w:p w:rsidR="00916841" w:rsidRDefault="00653561">
      <w:pPr>
        <w:pStyle w:val="a7"/>
        <w:framePr w:w="6629" w:h="534" w:hRule="exact" w:wrap="around" w:vAnchor="page" w:hAnchor="page" w:x="4054" w:y="2002"/>
        <w:shd w:val="clear" w:color="auto" w:fill="auto"/>
        <w:spacing w:before="0"/>
        <w:jc w:val="center"/>
      </w:pPr>
      <w:r>
        <w:t>Динаміка депозитів та рівня доларизації в банківській системі України [9]</w:t>
      </w:r>
    </w:p>
    <w:tbl>
      <w:tblPr>
        <w:tblOverlap w:val="never"/>
        <w:tblW w:w="0" w:type="auto"/>
        <w:tblLayout w:type="fixed"/>
        <w:tblCellMar>
          <w:left w:w="10" w:type="dxa"/>
          <w:right w:w="10" w:type="dxa"/>
        </w:tblCellMar>
        <w:tblLook w:val="04A0"/>
      </w:tblPr>
      <w:tblGrid>
        <w:gridCol w:w="1373"/>
        <w:gridCol w:w="1190"/>
        <w:gridCol w:w="1157"/>
        <w:gridCol w:w="1147"/>
        <w:gridCol w:w="1152"/>
        <w:gridCol w:w="1152"/>
        <w:gridCol w:w="1915"/>
      </w:tblGrid>
      <w:tr w:rsidR="00916841">
        <w:tblPrEx>
          <w:tblCellMar>
            <w:top w:w="0" w:type="dxa"/>
            <w:bottom w:w="0" w:type="dxa"/>
          </w:tblCellMar>
        </w:tblPrEx>
        <w:trPr>
          <w:trHeight w:hRule="exact" w:val="365"/>
        </w:trPr>
        <w:tc>
          <w:tcPr>
            <w:tcW w:w="1373" w:type="dxa"/>
            <w:vMerge w:val="restart"/>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Період</w:t>
            </w:r>
          </w:p>
        </w:tc>
        <w:tc>
          <w:tcPr>
            <w:tcW w:w="1190" w:type="dxa"/>
            <w:vMerge w:val="restart"/>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230" w:lineRule="exact"/>
              <w:jc w:val="center"/>
            </w:pPr>
            <w:r>
              <w:rPr>
                <w:rStyle w:val="aa"/>
              </w:rPr>
              <w:t>Усього (млн. грн.)</w:t>
            </w:r>
          </w:p>
        </w:tc>
        <w:tc>
          <w:tcPr>
            <w:tcW w:w="4608" w:type="dxa"/>
            <w:gridSpan w:val="4"/>
            <w:tcBorders>
              <w:top w:val="single" w:sz="4" w:space="0" w:color="auto"/>
              <w:left w:val="single" w:sz="4" w:space="0" w:color="auto"/>
            </w:tcBorders>
            <w:shd w:val="clear" w:color="auto" w:fill="FFFFFF"/>
            <w:vAlign w:val="bottom"/>
          </w:tcPr>
          <w:p w:rsidR="00916841" w:rsidRDefault="00653561">
            <w:pPr>
              <w:pStyle w:val="a7"/>
              <w:framePr w:w="9086" w:h="5650" w:wrap="around" w:vAnchor="page" w:hAnchor="page" w:x="1577" w:y="2715"/>
              <w:shd w:val="clear" w:color="auto" w:fill="auto"/>
              <w:spacing w:before="0" w:line="170" w:lineRule="exact"/>
              <w:jc w:val="center"/>
            </w:pPr>
            <w:r>
              <w:rPr>
                <w:rStyle w:val="aa"/>
              </w:rPr>
              <w:t>Депозити</w:t>
            </w:r>
          </w:p>
        </w:tc>
        <w:tc>
          <w:tcPr>
            <w:tcW w:w="1915" w:type="dxa"/>
            <w:vMerge w:val="restart"/>
            <w:tcBorders>
              <w:top w:val="single" w:sz="4" w:space="0" w:color="auto"/>
              <w:left w:val="single" w:sz="4" w:space="0" w:color="auto"/>
              <w:righ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230" w:lineRule="exact"/>
              <w:jc w:val="center"/>
            </w:pPr>
            <w:r>
              <w:rPr>
                <w:rStyle w:val="aa"/>
              </w:rPr>
              <w:t>Рівень доларизації за методикою МВФ (депозити / M2)</w:t>
            </w:r>
          </w:p>
        </w:tc>
      </w:tr>
      <w:tr w:rsidR="00916841">
        <w:tblPrEx>
          <w:tblCellMar>
            <w:top w:w="0" w:type="dxa"/>
            <w:bottom w:w="0" w:type="dxa"/>
          </w:tblCellMar>
        </w:tblPrEx>
        <w:trPr>
          <w:trHeight w:hRule="exact" w:val="466"/>
        </w:trPr>
        <w:tc>
          <w:tcPr>
            <w:tcW w:w="1373" w:type="dxa"/>
            <w:vMerge/>
            <w:tcBorders>
              <w:left w:val="single" w:sz="4" w:space="0" w:color="auto"/>
            </w:tcBorders>
            <w:shd w:val="clear" w:color="auto" w:fill="FFFFFF"/>
            <w:vAlign w:val="center"/>
          </w:tcPr>
          <w:p w:rsidR="00916841" w:rsidRDefault="00916841">
            <w:pPr>
              <w:framePr w:w="9086" w:h="5650" w:wrap="around" w:vAnchor="page" w:hAnchor="page" w:x="1577" w:y="2715"/>
            </w:pPr>
          </w:p>
        </w:tc>
        <w:tc>
          <w:tcPr>
            <w:tcW w:w="1190" w:type="dxa"/>
            <w:vMerge/>
            <w:tcBorders>
              <w:left w:val="single" w:sz="4" w:space="0" w:color="auto"/>
            </w:tcBorders>
            <w:shd w:val="clear" w:color="auto" w:fill="FFFFFF"/>
            <w:vAlign w:val="center"/>
          </w:tcPr>
          <w:p w:rsidR="00916841" w:rsidRDefault="00916841">
            <w:pPr>
              <w:framePr w:w="9086" w:h="5650" w:wrap="around" w:vAnchor="page" w:hAnchor="page" w:x="1577" w:y="2715"/>
            </w:pPr>
          </w:p>
        </w:tc>
        <w:tc>
          <w:tcPr>
            <w:tcW w:w="2304" w:type="dxa"/>
            <w:gridSpan w:val="2"/>
            <w:tcBorders>
              <w:top w:val="single" w:sz="4" w:space="0" w:color="auto"/>
              <w:left w:val="single" w:sz="4" w:space="0" w:color="auto"/>
            </w:tcBorders>
            <w:shd w:val="clear" w:color="auto" w:fill="FFFFFF"/>
          </w:tcPr>
          <w:p w:rsidR="00916841" w:rsidRDefault="00653561">
            <w:pPr>
              <w:pStyle w:val="a7"/>
              <w:framePr w:w="9086" w:h="5650" w:wrap="around" w:vAnchor="page" w:hAnchor="page" w:x="1577" w:y="2715"/>
              <w:shd w:val="clear" w:color="auto" w:fill="auto"/>
              <w:spacing w:before="0" w:line="230" w:lineRule="exact"/>
              <w:jc w:val="center"/>
            </w:pPr>
            <w:r>
              <w:rPr>
                <w:rStyle w:val="aa"/>
              </w:rPr>
              <w:t>у національній валюті</w:t>
            </w:r>
          </w:p>
        </w:tc>
        <w:tc>
          <w:tcPr>
            <w:tcW w:w="2304" w:type="dxa"/>
            <w:gridSpan w:val="2"/>
            <w:tcBorders>
              <w:top w:val="single" w:sz="4" w:space="0" w:color="auto"/>
              <w:left w:val="single" w:sz="4" w:space="0" w:color="auto"/>
            </w:tcBorders>
            <w:shd w:val="clear" w:color="auto" w:fill="FFFFFF"/>
          </w:tcPr>
          <w:p w:rsidR="00916841" w:rsidRDefault="00653561">
            <w:pPr>
              <w:pStyle w:val="a7"/>
              <w:framePr w:w="9086" w:h="5650" w:wrap="around" w:vAnchor="page" w:hAnchor="page" w:x="1577" w:y="2715"/>
              <w:shd w:val="clear" w:color="auto" w:fill="auto"/>
              <w:spacing w:before="0" w:line="230" w:lineRule="exact"/>
              <w:jc w:val="center"/>
            </w:pPr>
            <w:r>
              <w:rPr>
                <w:rStyle w:val="aa"/>
              </w:rPr>
              <w:t>в іноземній валюті</w:t>
            </w:r>
          </w:p>
        </w:tc>
        <w:tc>
          <w:tcPr>
            <w:tcW w:w="1915" w:type="dxa"/>
            <w:vMerge/>
            <w:tcBorders>
              <w:left w:val="single" w:sz="4" w:space="0" w:color="auto"/>
              <w:right w:val="single" w:sz="4" w:space="0" w:color="auto"/>
            </w:tcBorders>
            <w:shd w:val="clear" w:color="auto" w:fill="FFFFFF"/>
            <w:vAlign w:val="center"/>
          </w:tcPr>
          <w:p w:rsidR="00916841" w:rsidRDefault="00916841">
            <w:pPr>
              <w:framePr w:w="9086" w:h="5650" w:wrap="around" w:vAnchor="page" w:hAnchor="page" w:x="1577" w:y="2715"/>
            </w:pPr>
          </w:p>
        </w:tc>
      </w:tr>
      <w:tr w:rsidR="00916841">
        <w:tblPrEx>
          <w:tblCellMar>
            <w:top w:w="0" w:type="dxa"/>
            <w:bottom w:w="0" w:type="dxa"/>
          </w:tblCellMar>
        </w:tblPrEx>
        <w:trPr>
          <w:trHeight w:hRule="exact" w:val="346"/>
        </w:trPr>
        <w:tc>
          <w:tcPr>
            <w:tcW w:w="1373" w:type="dxa"/>
            <w:vMerge/>
            <w:tcBorders>
              <w:left w:val="single" w:sz="4" w:space="0" w:color="auto"/>
            </w:tcBorders>
            <w:shd w:val="clear" w:color="auto" w:fill="FFFFFF"/>
            <w:vAlign w:val="center"/>
          </w:tcPr>
          <w:p w:rsidR="00916841" w:rsidRDefault="00916841">
            <w:pPr>
              <w:framePr w:w="9086" w:h="5650" w:wrap="around" w:vAnchor="page" w:hAnchor="page" w:x="1577" w:y="2715"/>
            </w:pPr>
          </w:p>
        </w:tc>
        <w:tc>
          <w:tcPr>
            <w:tcW w:w="1190" w:type="dxa"/>
            <w:vMerge/>
            <w:tcBorders>
              <w:left w:val="single" w:sz="4" w:space="0" w:color="auto"/>
            </w:tcBorders>
            <w:shd w:val="clear" w:color="auto" w:fill="FFFFFF"/>
            <w:vAlign w:val="center"/>
          </w:tcPr>
          <w:p w:rsidR="00916841" w:rsidRDefault="00916841">
            <w:pPr>
              <w:framePr w:w="9086" w:h="5650" w:wrap="around" w:vAnchor="page" w:hAnchor="page" w:x="1577" w:y="2715"/>
            </w:pPr>
          </w:p>
        </w:tc>
        <w:tc>
          <w:tcPr>
            <w:tcW w:w="1157"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млн. грн.</w:t>
            </w:r>
          </w:p>
        </w:tc>
        <w:tc>
          <w:tcPr>
            <w:tcW w:w="1147"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w:t>
            </w:r>
          </w:p>
        </w:tc>
        <w:tc>
          <w:tcPr>
            <w:tcW w:w="1152"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ind w:left="120"/>
              <w:jc w:val="left"/>
            </w:pPr>
            <w:r>
              <w:rPr>
                <w:rStyle w:val="aa"/>
              </w:rPr>
              <w:t>млн. грн.</w:t>
            </w:r>
          </w:p>
        </w:tc>
        <w:tc>
          <w:tcPr>
            <w:tcW w:w="1152"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w:t>
            </w:r>
          </w:p>
        </w:tc>
        <w:tc>
          <w:tcPr>
            <w:tcW w:w="1915" w:type="dxa"/>
            <w:vMerge/>
            <w:tcBorders>
              <w:left w:val="single" w:sz="4" w:space="0" w:color="auto"/>
              <w:right w:val="single" w:sz="4" w:space="0" w:color="auto"/>
            </w:tcBorders>
            <w:shd w:val="clear" w:color="auto" w:fill="FFFFFF"/>
            <w:vAlign w:val="center"/>
          </w:tcPr>
          <w:p w:rsidR="00916841" w:rsidRDefault="00916841">
            <w:pPr>
              <w:framePr w:w="9086" w:h="5650" w:wrap="around" w:vAnchor="page" w:hAnchor="page" w:x="1577" w:y="2715"/>
            </w:pPr>
          </w:p>
        </w:tc>
      </w:tr>
      <w:tr w:rsidR="00916841">
        <w:tblPrEx>
          <w:tblCellMar>
            <w:top w:w="0" w:type="dxa"/>
            <w:bottom w:w="0" w:type="dxa"/>
          </w:tblCellMar>
        </w:tblPrEx>
        <w:trPr>
          <w:trHeight w:hRule="exact" w:val="494"/>
        </w:trPr>
        <w:tc>
          <w:tcPr>
            <w:tcW w:w="1373"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2005</w:t>
            </w:r>
          </w:p>
        </w:tc>
        <w:tc>
          <w:tcPr>
            <w:tcW w:w="1190"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134 754</w:t>
            </w:r>
          </w:p>
        </w:tc>
        <w:tc>
          <w:tcPr>
            <w:tcW w:w="1157"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87 769</w:t>
            </w:r>
          </w:p>
        </w:tc>
        <w:tc>
          <w:tcPr>
            <w:tcW w:w="1147"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65,1</w:t>
            </w:r>
          </w:p>
        </w:tc>
        <w:tc>
          <w:tcPr>
            <w:tcW w:w="1152"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ind w:left="260"/>
              <w:jc w:val="left"/>
            </w:pPr>
            <w:r>
              <w:rPr>
                <w:rStyle w:val="aa"/>
              </w:rPr>
              <w:t>46 985</w:t>
            </w:r>
          </w:p>
        </w:tc>
        <w:tc>
          <w:tcPr>
            <w:tcW w:w="1152"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34,9</w:t>
            </w:r>
          </w:p>
        </w:tc>
        <w:tc>
          <w:tcPr>
            <w:tcW w:w="1915" w:type="dxa"/>
            <w:tcBorders>
              <w:top w:val="single" w:sz="4" w:space="0" w:color="auto"/>
              <w:left w:val="single" w:sz="4" w:space="0" w:color="auto"/>
              <w:righ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24,3%</w:t>
            </w:r>
          </w:p>
        </w:tc>
      </w:tr>
      <w:tr w:rsidR="00916841">
        <w:tblPrEx>
          <w:tblCellMar>
            <w:top w:w="0" w:type="dxa"/>
            <w:bottom w:w="0" w:type="dxa"/>
          </w:tblCellMar>
        </w:tblPrEx>
        <w:trPr>
          <w:trHeight w:hRule="exact" w:val="499"/>
        </w:trPr>
        <w:tc>
          <w:tcPr>
            <w:tcW w:w="1373"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2006</w:t>
            </w:r>
          </w:p>
        </w:tc>
        <w:tc>
          <w:tcPr>
            <w:tcW w:w="1190"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185 917</w:t>
            </w:r>
          </w:p>
        </w:tc>
        <w:tc>
          <w:tcPr>
            <w:tcW w:w="1157"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115 102</w:t>
            </w:r>
          </w:p>
        </w:tc>
        <w:tc>
          <w:tcPr>
            <w:tcW w:w="1147"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61,9</w:t>
            </w:r>
          </w:p>
        </w:tc>
        <w:tc>
          <w:tcPr>
            <w:tcW w:w="1152"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ind w:left="260"/>
              <w:jc w:val="left"/>
            </w:pPr>
            <w:r>
              <w:rPr>
                <w:rStyle w:val="aa"/>
              </w:rPr>
              <w:t>70 814</w:t>
            </w:r>
          </w:p>
        </w:tc>
        <w:tc>
          <w:tcPr>
            <w:tcW w:w="1152"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38,1</w:t>
            </w:r>
          </w:p>
        </w:tc>
        <w:tc>
          <w:tcPr>
            <w:tcW w:w="1915" w:type="dxa"/>
            <w:tcBorders>
              <w:top w:val="single" w:sz="4" w:space="0" w:color="auto"/>
              <w:left w:val="single" w:sz="4" w:space="0" w:color="auto"/>
              <w:righ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27,3%</w:t>
            </w:r>
          </w:p>
        </w:tc>
      </w:tr>
      <w:tr w:rsidR="00916841">
        <w:tblPrEx>
          <w:tblCellMar>
            <w:top w:w="0" w:type="dxa"/>
            <w:bottom w:w="0" w:type="dxa"/>
          </w:tblCellMar>
        </w:tblPrEx>
        <w:trPr>
          <w:trHeight w:hRule="exact" w:val="494"/>
        </w:trPr>
        <w:tc>
          <w:tcPr>
            <w:tcW w:w="1373"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2007</w:t>
            </w:r>
          </w:p>
        </w:tc>
        <w:tc>
          <w:tcPr>
            <w:tcW w:w="1190"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283 875</w:t>
            </w:r>
          </w:p>
        </w:tc>
        <w:tc>
          <w:tcPr>
            <w:tcW w:w="1157"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192 297</w:t>
            </w:r>
          </w:p>
        </w:tc>
        <w:tc>
          <w:tcPr>
            <w:tcW w:w="1147"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67,7</w:t>
            </w:r>
          </w:p>
        </w:tc>
        <w:tc>
          <w:tcPr>
            <w:tcW w:w="1152"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ind w:left="260"/>
              <w:jc w:val="left"/>
            </w:pPr>
            <w:r>
              <w:rPr>
                <w:rStyle w:val="aa"/>
              </w:rPr>
              <w:t>91 577</w:t>
            </w:r>
          </w:p>
        </w:tc>
        <w:tc>
          <w:tcPr>
            <w:tcW w:w="1152"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32,3</w:t>
            </w:r>
          </w:p>
        </w:tc>
        <w:tc>
          <w:tcPr>
            <w:tcW w:w="1915" w:type="dxa"/>
            <w:tcBorders>
              <w:top w:val="single" w:sz="4" w:space="0" w:color="auto"/>
              <w:left w:val="single" w:sz="4" w:space="0" w:color="auto"/>
              <w:righ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23,4%</w:t>
            </w:r>
          </w:p>
        </w:tc>
      </w:tr>
      <w:tr w:rsidR="00916841">
        <w:tblPrEx>
          <w:tblCellMar>
            <w:top w:w="0" w:type="dxa"/>
            <w:bottom w:w="0" w:type="dxa"/>
          </w:tblCellMar>
        </w:tblPrEx>
        <w:trPr>
          <w:trHeight w:hRule="exact" w:val="490"/>
        </w:trPr>
        <w:tc>
          <w:tcPr>
            <w:tcW w:w="1373"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2008</w:t>
            </w:r>
          </w:p>
        </w:tc>
        <w:tc>
          <w:tcPr>
            <w:tcW w:w="1190"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359 740</w:t>
            </w:r>
          </w:p>
        </w:tc>
        <w:tc>
          <w:tcPr>
            <w:tcW w:w="1157"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201 835</w:t>
            </w:r>
          </w:p>
        </w:tc>
        <w:tc>
          <w:tcPr>
            <w:tcW w:w="1147"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56,1</w:t>
            </w:r>
          </w:p>
        </w:tc>
        <w:tc>
          <w:tcPr>
            <w:tcW w:w="1152"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ind w:left="260"/>
              <w:jc w:val="left"/>
            </w:pPr>
            <w:r>
              <w:rPr>
                <w:rStyle w:val="aa"/>
              </w:rPr>
              <w:t>157 905</w:t>
            </w:r>
          </w:p>
        </w:tc>
        <w:tc>
          <w:tcPr>
            <w:tcW w:w="1152"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43,9</w:t>
            </w:r>
          </w:p>
        </w:tc>
        <w:tc>
          <w:tcPr>
            <w:tcW w:w="1915" w:type="dxa"/>
            <w:tcBorders>
              <w:top w:val="single" w:sz="4" w:space="0" w:color="auto"/>
              <w:left w:val="single" w:sz="4" w:space="0" w:color="auto"/>
              <w:righ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30,8%</w:t>
            </w:r>
          </w:p>
        </w:tc>
      </w:tr>
      <w:tr w:rsidR="00916841">
        <w:tblPrEx>
          <w:tblCellMar>
            <w:top w:w="0" w:type="dxa"/>
            <w:bottom w:w="0" w:type="dxa"/>
          </w:tblCellMar>
        </w:tblPrEx>
        <w:trPr>
          <w:trHeight w:hRule="exact" w:val="499"/>
        </w:trPr>
        <w:tc>
          <w:tcPr>
            <w:tcW w:w="1373"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2009</w:t>
            </w:r>
          </w:p>
        </w:tc>
        <w:tc>
          <w:tcPr>
            <w:tcW w:w="1190"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334 953</w:t>
            </w:r>
          </w:p>
        </w:tc>
        <w:tc>
          <w:tcPr>
            <w:tcW w:w="1157"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173 091</w:t>
            </w:r>
          </w:p>
        </w:tc>
        <w:tc>
          <w:tcPr>
            <w:tcW w:w="1147"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51,7</w:t>
            </w:r>
          </w:p>
        </w:tc>
        <w:tc>
          <w:tcPr>
            <w:tcW w:w="1152"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ind w:left="260"/>
              <w:jc w:val="left"/>
            </w:pPr>
            <w:r>
              <w:rPr>
                <w:rStyle w:val="aa"/>
              </w:rPr>
              <w:t>161 862</w:t>
            </w:r>
          </w:p>
        </w:tc>
        <w:tc>
          <w:tcPr>
            <w:tcW w:w="1152"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48,3</w:t>
            </w:r>
          </w:p>
        </w:tc>
        <w:tc>
          <w:tcPr>
            <w:tcW w:w="1915" w:type="dxa"/>
            <w:tcBorders>
              <w:top w:val="single" w:sz="4" w:space="0" w:color="auto"/>
              <w:left w:val="single" w:sz="4" w:space="0" w:color="auto"/>
              <w:righ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33,4%</w:t>
            </w:r>
          </w:p>
        </w:tc>
      </w:tr>
      <w:tr w:rsidR="00916841">
        <w:tblPrEx>
          <w:tblCellMar>
            <w:top w:w="0" w:type="dxa"/>
            <w:bottom w:w="0" w:type="dxa"/>
          </w:tblCellMar>
        </w:tblPrEx>
        <w:trPr>
          <w:trHeight w:hRule="exact" w:val="499"/>
        </w:trPr>
        <w:tc>
          <w:tcPr>
            <w:tcW w:w="1373"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2010</w:t>
            </w:r>
          </w:p>
        </w:tc>
        <w:tc>
          <w:tcPr>
            <w:tcW w:w="1190"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416 650</w:t>
            </w:r>
          </w:p>
        </w:tc>
        <w:tc>
          <w:tcPr>
            <w:tcW w:w="1157"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239 302</w:t>
            </w:r>
          </w:p>
        </w:tc>
        <w:tc>
          <w:tcPr>
            <w:tcW w:w="1147"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57,4</w:t>
            </w:r>
          </w:p>
        </w:tc>
        <w:tc>
          <w:tcPr>
            <w:tcW w:w="1152"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ind w:left="260"/>
              <w:jc w:val="left"/>
            </w:pPr>
            <w:r>
              <w:rPr>
                <w:rStyle w:val="aa"/>
              </w:rPr>
              <w:t>177 348</w:t>
            </w:r>
          </w:p>
        </w:tc>
        <w:tc>
          <w:tcPr>
            <w:tcW w:w="1152"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42,6</w:t>
            </w:r>
          </w:p>
        </w:tc>
        <w:tc>
          <w:tcPr>
            <w:tcW w:w="1915" w:type="dxa"/>
            <w:tcBorders>
              <w:top w:val="single" w:sz="4" w:space="0" w:color="auto"/>
              <w:left w:val="single" w:sz="4" w:space="0" w:color="auto"/>
              <w:righ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29,7%</w:t>
            </w:r>
          </w:p>
        </w:tc>
      </w:tr>
      <w:tr w:rsidR="00916841">
        <w:tblPrEx>
          <w:tblCellMar>
            <w:top w:w="0" w:type="dxa"/>
            <w:bottom w:w="0" w:type="dxa"/>
          </w:tblCellMar>
        </w:tblPrEx>
        <w:trPr>
          <w:trHeight w:hRule="exact" w:val="494"/>
        </w:trPr>
        <w:tc>
          <w:tcPr>
            <w:tcW w:w="1373"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2011</w:t>
            </w:r>
          </w:p>
        </w:tc>
        <w:tc>
          <w:tcPr>
            <w:tcW w:w="1190"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491 756</w:t>
            </w:r>
          </w:p>
        </w:tc>
        <w:tc>
          <w:tcPr>
            <w:tcW w:w="1157"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280 440</w:t>
            </w:r>
          </w:p>
        </w:tc>
        <w:tc>
          <w:tcPr>
            <w:tcW w:w="1147"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57,0</w:t>
            </w:r>
          </w:p>
        </w:tc>
        <w:tc>
          <w:tcPr>
            <w:tcW w:w="1152"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ind w:left="260"/>
              <w:jc w:val="left"/>
            </w:pPr>
            <w:r>
              <w:rPr>
                <w:rStyle w:val="aa"/>
              </w:rPr>
              <w:t>211 316</w:t>
            </w:r>
          </w:p>
        </w:tc>
        <w:tc>
          <w:tcPr>
            <w:tcW w:w="1152"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43,0</w:t>
            </w:r>
          </w:p>
        </w:tc>
        <w:tc>
          <w:tcPr>
            <w:tcW w:w="1915" w:type="dxa"/>
            <w:tcBorders>
              <w:top w:val="single" w:sz="4" w:space="0" w:color="auto"/>
              <w:left w:val="single" w:sz="4" w:space="0" w:color="auto"/>
              <w:righ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31,0%</w:t>
            </w:r>
          </w:p>
        </w:tc>
      </w:tr>
      <w:tr w:rsidR="00916841">
        <w:tblPrEx>
          <w:tblCellMar>
            <w:top w:w="0" w:type="dxa"/>
            <w:bottom w:w="0" w:type="dxa"/>
          </w:tblCellMar>
        </w:tblPrEx>
        <w:trPr>
          <w:trHeight w:hRule="exact" w:val="499"/>
        </w:trPr>
        <w:tc>
          <w:tcPr>
            <w:tcW w:w="1373"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2012</w:t>
            </w:r>
          </w:p>
        </w:tc>
        <w:tc>
          <w:tcPr>
            <w:tcW w:w="1190"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572 342</w:t>
            </w:r>
          </w:p>
        </w:tc>
        <w:tc>
          <w:tcPr>
            <w:tcW w:w="1157"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320 268</w:t>
            </w:r>
          </w:p>
        </w:tc>
        <w:tc>
          <w:tcPr>
            <w:tcW w:w="1147"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56,0</w:t>
            </w:r>
          </w:p>
        </w:tc>
        <w:tc>
          <w:tcPr>
            <w:tcW w:w="1152"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ind w:left="260"/>
              <w:jc w:val="left"/>
            </w:pPr>
            <w:r>
              <w:rPr>
                <w:rStyle w:val="aa"/>
              </w:rPr>
              <w:t>212 546</w:t>
            </w:r>
          </w:p>
        </w:tc>
        <w:tc>
          <w:tcPr>
            <w:tcW w:w="1152" w:type="dxa"/>
            <w:tcBorders>
              <w:top w:val="single" w:sz="4" w:space="0" w:color="auto"/>
              <w:lef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44,0</w:t>
            </w:r>
          </w:p>
        </w:tc>
        <w:tc>
          <w:tcPr>
            <w:tcW w:w="1915" w:type="dxa"/>
            <w:tcBorders>
              <w:top w:val="single" w:sz="4" w:space="0" w:color="auto"/>
              <w:left w:val="single" w:sz="4" w:space="0" w:color="auto"/>
              <w:righ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32,7%</w:t>
            </w:r>
          </w:p>
        </w:tc>
      </w:tr>
      <w:tr w:rsidR="00916841">
        <w:tblPrEx>
          <w:tblCellMar>
            <w:top w:w="0" w:type="dxa"/>
            <w:bottom w:w="0" w:type="dxa"/>
          </w:tblCellMar>
        </w:tblPrEx>
        <w:trPr>
          <w:trHeight w:hRule="exact" w:val="504"/>
        </w:trPr>
        <w:tc>
          <w:tcPr>
            <w:tcW w:w="1373" w:type="dxa"/>
            <w:tcBorders>
              <w:top w:val="single" w:sz="4" w:space="0" w:color="auto"/>
              <w:left w:val="single" w:sz="4" w:space="0" w:color="auto"/>
              <w:bottom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1 кв. 2013</w:t>
            </w:r>
          </w:p>
        </w:tc>
        <w:tc>
          <w:tcPr>
            <w:tcW w:w="1190" w:type="dxa"/>
            <w:tcBorders>
              <w:top w:val="single" w:sz="4" w:space="0" w:color="auto"/>
              <w:left w:val="single" w:sz="4" w:space="0" w:color="auto"/>
              <w:bottom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597 084</w:t>
            </w:r>
          </w:p>
        </w:tc>
        <w:tc>
          <w:tcPr>
            <w:tcW w:w="1157" w:type="dxa"/>
            <w:tcBorders>
              <w:top w:val="single" w:sz="4" w:space="0" w:color="auto"/>
              <w:left w:val="single" w:sz="4" w:space="0" w:color="auto"/>
              <w:bottom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346 349</w:t>
            </w:r>
          </w:p>
        </w:tc>
        <w:tc>
          <w:tcPr>
            <w:tcW w:w="1147" w:type="dxa"/>
            <w:tcBorders>
              <w:top w:val="single" w:sz="4" w:space="0" w:color="auto"/>
              <w:left w:val="single" w:sz="4" w:space="0" w:color="auto"/>
              <w:bottom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58,0</w:t>
            </w:r>
          </w:p>
        </w:tc>
        <w:tc>
          <w:tcPr>
            <w:tcW w:w="1152" w:type="dxa"/>
            <w:tcBorders>
              <w:top w:val="single" w:sz="4" w:space="0" w:color="auto"/>
              <w:left w:val="single" w:sz="4" w:space="0" w:color="auto"/>
              <w:bottom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ind w:left="260"/>
              <w:jc w:val="left"/>
            </w:pPr>
            <w:r>
              <w:rPr>
                <w:rStyle w:val="aa"/>
              </w:rPr>
              <w:t>215 741</w:t>
            </w:r>
          </w:p>
        </w:tc>
        <w:tc>
          <w:tcPr>
            <w:tcW w:w="1152" w:type="dxa"/>
            <w:tcBorders>
              <w:top w:val="single" w:sz="4" w:space="0" w:color="auto"/>
              <w:left w:val="single" w:sz="4" w:space="0" w:color="auto"/>
              <w:bottom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42,0</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916841" w:rsidRDefault="00653561">
            <w:pPr>
              <w:pStyle w:val="a7"/>
              <w:framePr w:w="9086" w:h="5650" w:wrap="around" w:vAnchor="page" w:hAnchor="page" w:x="1577" w:y="2715"/>
              <w:shd w:val="clear" w:color="auto" w:fill="auto"/>
              <w:spacing w:before="0" w:line="170" w:lineRule="exact"/>
              <w:jc w:val="center"/>
            </w:pPr>
            <w:r>
              <w:rPr>
                <w:rStyle w:val="aa"/>
              </w:rPr>
              <w:t>31,4%</w:t>
            </w:r>
          </w:p>
        </w:tc>
      </w:tr>
    </w:tbl>
    <w:p w:rsidR="00916841" w:rsidRDefault="00653561">
      <w:pPr>
        <w:pStyle w:val="a7"/>
        <w:framePr w:w="9096" w:h="6308" w:hRule="exact" w:wrap="around" w:vAnchor="page" w:hAnchor="page" w:x="1572" w:y="8587"/>
        <w:shd w:val="clear" w:color="auto" w:fill="auto"/>
        <w:spacing w:before="0"/>
        <w:ind w:left="20" w:right="20" w:firstLine="280"/>
      </w:pPr>
      <w:r>
        <w:t xml:space="preserve">Доларизацію економіки за методикою МВФ визначають на підставі </w:t>
      </w:r>
      <w:r>
        <w:t>співвідношення депозитів у іноземній валюті до грошової маси (M2) [14]. Цей показник не має перевищувати 30%. Як бачимо, схильність населення до накопичення коштів у іноземній валюті створює передумови для високого рівня доларизації економіки загалом та ба</w:t>
      </w:r>
      <w:r>
        <w:t>нківської системи зокрема. Аналізуючи інформацію, наве</w:t>
      </w:r>
      <w:r>
        <w:softHyphen/>
        <w:t>дену в табл. 2, слід зауважити, що у 2012 р. показник доларизації перевищив 30% і становив 32,7%.</w:t>
      </w:r>
    </w:p>
    <w:p w:rsidR="00916841" w:rsidRDefault="00653561">
      <w:pPr>
        <w:pStyle w:val="a7"/>
        <w:framePr w:w="9096" w:h="6308" w:hRule="exact" w:wrap="around" w:vAnchor="page" w:hAnchor="page" w:x="1572" w:y="8587"/>
        <w:shd w:val="clear" w:color="auto" w:fill="auto"/>
        <w:spacing w:before="0"/>
        <w:ind w:left="20" w:right="20" w:firstLine="280"/>
      </w:pPr>
      <w:r>
        <w:t>Доларизація, як свідчить вітчизняна практика, негативно впливає на стан грошово-кредитної системи країн</w:t>
      </w:r>
      <w:r>
        <w:t>и, оскільки знижує ефективність монетарних важелів регулювання грошового обігу. Обсяг готівкових доларів оцінюється фахівцями НБУ в суму близько 50 млрд. дол., таким чином доларова маса у перерахунку на вітчизняну валюту становить 50% гривневого агрегату M</w:t>
      </w:r>
      <w:r>
        <w:t>2 [15].</w:t>
      </w:r>
    </w:p>
    <w:p w:rsidR="00916841" w:rsidRDefault="00653561">
      <w:pPr>
        <w:pStyle w:val="a7"/>
        <w:framePr w:w="9096" w:h="6308" w:hRule="exact" w:wrap="around" w:vAnchor="page" w:hAnchor="page" w:x="1572" w:y="8587"/>
        <w:shd w:val="clear" w:color="auto" w:fill="auto"/>
        <w:spacing w:before="0"/>
        <w:ind w:left="20" w:right="20" w:firstLine="280"/>
      </w:pPr>
      <w:r>
        <w:t>У першому кварталі 2013 р/ частка депозитів резидентів у національній валюті становить 58%, у іноземній - 42%. Резиденти у 2013 р. надають перевагу депозитам у гривні, оскільки за ними існує вдвічі вищий відсоток отримання прибутку, ніжза депозитам</w:t>
      </w:r>
      <w:r>
        <w:t>и у іноземній валюті. Середні ставки за гривневими внесками (до 1 місяця - 11,8%, від 1 до 3 місяців - 14,1%, від 6 до 12 місяців - 18,5%), значно перевищують як поточну інфляцію (близько 0%), так і інфляційні прогнози на найближчий рік (5-7%) [17].</w:t>
      </w:r>
    </w:p>
    <w:p w:rsidR="00916841" w:rsidRDefault="00653561">
      <w:pPr>
        <w:pStyle w:val="a7"/>
        <w:framePr w:w="9096" w:h="6308" w:hRule="exact" w:wrap="around" w:vAnchor="page" w:hAnchor="page" w:x="1572" w:y="8587"/>
        <w:shd w:val="clear" w:color="auto" w:fill="auto"/>
        <w:spacing w:before="0"/>
        <w:ind w:left="20" w:right="20" w:firstLine="280"/>
      </w:pPr>
      <w:r>
        <w:t>Україн</w:t>
      </w:r>
      <w:r>
        <w:t>а встановила світовий рекорд за рівнем депозитних ставок - максимальна річна прибутковість за депозитними вкладами досягає 28% річних, водночас як у Бангладеш і Шрі-Ланці цей показник не перевищує 12,5%. У найстійкіших економіках світу відсотки мікроскопіч</w:t>
      </w:r>
      <w:r>
        <w:t>ні: наприклад, у Німеччині - 1,4%, у США - 1,05%, у Швейцарії - 0,125% [18]. У сьогоднішніх економічних умовах, коли в Єврозоні існує боргова криза, а зростання світової економіки сповільнюється, банківський сектор не може розраховувати на залучення ресурс</w:t>
      </w:r>
      <w:r>
        <w:t>ів з-за кордону, тому кошти населення зараз є основним джерелом пасивів за гривневими вкладами (в окремі періоди жовтня-листопада 2013 р. банки залучали депозити на короткий термін (до 1 місяця) під 35-40% річних).</w:t>
      </w:r>
    </w:p>
    <w:p w:rsidR="00916841" w:rsidRDefault="00653561">
      <w:pPr>
        <w:pStyle w:val="a7"/>
        <w:framePr w:w="9096" w:h="6308" w:hRule="exact" w:wrap="around" w:vAnchor="page" w:hAnchor="page" w:x="1572" w:y="8587"/>
        <w:shd w:val="clear" w:color="auto" w:fill="auto"/>
        <w:spacing w:before="0"/>
        <w:ind w:left="20" w:right="20" w:firstLine="280"/>
      </w:pPr>
      <w:r>
        <w:t>Слід зазначити, що на стабільність та кур</w:t>
      </w:r>
      <w:r>
        <w:t>соутворення гривні значний вплив має розмір державного боргу та графік його погашення. Динаміку державного боргу України зображено рис. 4.</w:t>
      </w:r>
    </w:p>
    <w:p w:rsidR="00916841" w:rsidRDefault="00653561">
      <w:pPr>
        <w:pStyle w:val="a5"/>
        <w:framePr w:wrap="around" w:vAnchor="page" w:hAnchor="page" w:x="1539" w:y="15568"/>
        <w:shd w:val="clear" w:color="auto" w:fill="auto"/>
        <w:spacing w:line="170" w:lineRule="exact"/>
        <w:ind w:left="20"/>
      </w:pPr>
      <w:r>
        <w:t>96</w:t>
      </w:r>
    </w:p>
    <w:p w:rsidR="00916841" w:rsidRDefault="00653561">
      <w:pPr>
        <w:pStyle w:val="24"/>
        <w:framePr w:wrap="around" w:vAnchor="page" w:hAnchor="page" w:x="8470" w:y="15574"/>
        <w:shd w:val="clear" w:color="auto" w:fill="auto"/>
        <w:spacing w:line="130" w:lineRule="exact"/>
        <w:ind w:left="20"/>
      </w:pPr>
      <w:r>
        <w:t>Наука молода № 19, 2013 р.</w:t>
      </w:r>
    </w:p>
    <w:p w:rsidR="00916841" w:rsidRDefault="00916841">
      <w:pPr>
        <w:rPr>
          <w:sz w:val="2"/>
          <w:szCs w:val="2"/>
        </w:rPr>
        <w:sectPr w:rsidR="00916841">
          <w:pgSz w:w="11909" w:h="16838"/>
          <w:pgMar w:top="0" w:right="0" w:bottom="0" w:left="0" w:header="0" w:footer="3" w:gutter="0"/>
          <w:cols w:space="720"/>
          <w:noEndnote/>
          <w:docGrid w:linePitch="360"/>
        </w:sectPr>
      </w:pPr>
    </w:p>
    <w:p w:rsidR="00916841" w:rsidRDefault="00653561">
      <w:pPr>
        <w:pStyle w:val="a5"/>
        <w:framePr w:wrap="around" w:vAnchor="page" w:hAnchor="page" w:x="5412" w:y="1273"/>
        <w:shd w:val="clear" w:color="auto" w:fill="auto"/>
        <w:spacing w:line="170" w:lineRule="exact"/>
        <w:ind w:left="20"/>
      </w:pPr>
      <w:r>
        <w:lastRenderedPageBreak/>
        <w:t>Перспективи розвитку фінансово-кредитної системи</w:t>
      </w:r>
    </w:p>
    <w:p w:rsidR="00916841" w:rsidRDefault="00653561">
      <w:pPr>
        <w:pStyle w:val="42"/>
        <w:framePr w:w="139" w:h="634" w:hRule="exact" w:wrap="around" w:vAnchor="page" w:hAnchor="page" w:x="1788" w:y="3102"/>
        <w:shd w:val="clear" w:color="auto" w:fill="auto"/>
        <w:spacing w:line="80" w:lineRule="exact"/>
      </w:pPr>
      <w:r>
        <w:t>=2</w:t>
      </w:r>
    </w:p>
    <w:p w:rsidR="00916841" w:rsidRDefault="00653561">
      <w:pPr>
        <w:pStyle w:val="52"/>
        <w:framePr w:w="139" w:h="634" w:hRule="exact" w:wrap="around" w:vAnchor="page" w:hAnchor="page" w:x="1788" w:y="3102"/>
        <w:shd w:val="clear" w:color="auto" w:fill="auto"/>
        <w:spacing w:line="190" w:lineRule="exact"/>
      </w:pPr>
      <w:r>
        <w:t>о</w:t>
      </w:r>
    </w:p>
    <w:p w:rsidR="00916841" w:rsidRDefault="00653561">
      <w:pPr>
        <w:pStyle w:val="26"/>
        <w:framePr w:w="139" w:h="634" w:hRule="exact" w:wrap="around" w:vAnchor="page" w:hAnchor="page" w:x="1788" w:y="3102"/>
        <w:shd w:val="clear" w:color="auto" w:fill="auto"/>
        <w:spacing w:line="170" w:lineRule="exact"/>
      </w:pPr>
      <w:r>
        <w:t>п</w:t>
      </w:r>
    </w:p>
    <w:p w:rsidR="00916841" w:rsidRDefault="00653561">
      <w:pPr>
        <w:pStyle w:val="26"/>
        <w:framePr w:w="139" w:h="634" w:hRule="exact" w:wrap="around" w:vAnchor="page" w:hAnchor="page" w:x="1788" w:y="3102"/>
        <w:shd w:val="clear" w:color="auto" w:fill="auto"/>
        <w:spacing w:line="170" w:lineRule="exact"/>
      </w:pPr>
      <w:r>
        <w:t>п</w:t>
      </w:r>
    </w:p>
    <w:p w:rsidR="00916841" w:rsidRDefault="00653561">
      <w:pPr>
        <w:pStyle w:val="62"/>
        <w:framePr w:w="139" w:h="634" w:hRule="exact" w:wrap="around" w:vAnchor="page" w:hAnchor="page" w:x="1788" w:y="3102"/>
        <w:shd w:val="clear" w:color="auto" w:fill="auto"/>
        <w:spacing w:line="100" w:lineRule="exact"/>
      </w:pPr>
      <w:r>
        <w:t>Он</w:t>
      </w:r>
    </w:p>
    <w:p w:rsidR="00916841" w:rsidRDefault="00653561">
      <w:pPr>
        <w:pStyle w:val="ac"/>
        <w:framePr w:w="557" w:h="3648" w:hRule="exact" w:wrap="around" w:vAnchor="page" w:hAnchor="page" w:x="1750" w:y="1950"/>
        <w:shd w:val="clear" w:color="auto" w:fill="auto"/>
        <w:spacing w:after="325" w:line="160" w:lineRule="exact"/>
        <w:ind w:left="380" w:firstLine="0"/>
      </w:pPr>
      <w:r>
        <w:t>70</w:t>
      </w:r>
    </w:p>
    <w:p w:rsidR="00916841" w:rsidRDefault="00653561">
      <w:pPr>
        <w:pStyle w:val="ac"/>
        <w:framePr w:w="557" w:h="3648" w:hRule="exact" w:wrap="around" w:vAnchor="page" w:hAnchor="page" w:x="1750" w:y="1950"/>
        <w:shd w:val="clear" w:color="auto" w:fill="auto"/>
        <w:spacing w:after="0" w:line="192" w:lineRule="exact"/>
        <w:ind w:firstLine="0"/>
      </w:pPr>
      <w:r>
        <w:t>&lt;</w:t>
      </w:r>
      <w:r>
        <w:t xml:space="preserve"> </w:t>
      </w:r>
      <w:r>
        <w:rPr>
          <w:vertAlign w:val="superscript"/>
        </w:rPr>
        <w:t>60</w:t>
      </w:r>
      <w:r>
        <w:t xml:space="preserve"> </w:t>
      </w:r>
      <w:r>
        <w:rPr>
          <w:rStyle w:val="105pt"/>
        </w:rPr>
        <w:t>з</w:t>
      </w:r>
    </w:p>
    <w:p w:rsidR="00916841" w:rsidRDefault="00653561">
      <w:pPr>
        <w:pStyle w:val="ac"/>
        <w:framePr w:w="557" w:h="3648" w:hRule="exact" w:wrap="around" w:vAnchor="page" w:hAnchor="page" w:x="1750" w:y="1950"/>
        <w:shd w:val="clear" w:color="auto" w:fill="auto"/>
        <w:tabs>
          <w:tab w:val="right" w:pos="557"/>
        </w:tabs>
        <w:spacing w:after="0" w:line="480" w:lineRule="exact"/>
        <w:ind w:firstLine="0"/>
      </w:pPr>
      <w:r>
        <w:t>°</w:t>
      </w:r>
      <w:r>
        <w:tab/>
        <w:t>50</w:t>
      </w:r>
    </w:p>
    <w:p w:rsidR="00916841" w:rsidRDefault="00653561">
      <w:pPr>
        <w:pStyle w:val="ac"/>
        <w:framePr w:w="557" w:h="3648" w:hRule="exact" w:wrap="around" w:vAnchor="page" w:hAnchor="page" w:x="1750" w:y="1950"/>
        <w:shd w:val="clear" w:color="auto" w:fill="auto"/>
        <w:spacing w:after="0" w:line="480" w:lineRule="exact"/>
        <w:ind w:left="380" w:firstLine="0"/>
      </w:pPr>
      <w:r>
        <w:t>40 30 20 10 0</w:t>
      </w:r>
    </w:p>
    <w:p w:rsidR="00916841" w:rsidRDefault="00653561">
      <w:pPr>
        <w:framePr w:wrap="none" w:vAnchor="page" w:hAnchor="page" w:x="2336" w:y="1834"/>
        <w:rPr>
          <w:sz w:val="2"/>
          <w:szCs w:val="2"/>
        </w:rPr>
      </w:pPr>
      <w:r>
        <w:pict>
          <v:shape id="_x0000_i1027" type="#_x0000_t75" style="width:345pt;height:182.25pt">
            <v:imagedata r:id="rId12" r:href="rId13"/>
          </v:shape>
        </w:pict>
      </w:r>
    </w:p>
    <w:p w:rsidR="00916841" w:rsidRDefault="00653561">
      <w:pPr>
        <w:pStyle w:val="ac"/>
        <w:framePr w:w="1032" w:h="1541" w:hRule="exact" w:wrap="around" w:vAnchor="page" w:hAnchor="page" w:x="9387" w:y="3587"/>
        <w:numPr>
          <w:ilvl w:val="0"/>
          <w:numId w:val="2"/>
        </w:numPr>
        <w:shd w:val="clear" w:color="auto" w:fill="auto"/>
        <w:spacing w:after="120" w:line="221" w:lineRule="exact"/>
        <w:ind w:left="180" w:right="40"/>
      </w:pPr>
      <w:r>
        <w:t xml:space="preserve"> Внутрішній борг млрд. дол. США</w:t>
      </w:r>
    </w:p>
    <w:p w:rsidR="00916841" w:rsidRDefault="00653561">
      <w:pPr>
        <w:pStyle w:val="ac"/>
        <w:framePr w:w="1032" w:h="1541" w:hRule="exact" w:wrap="around" w:vAnchor="page" w:hAnchor="page" w:x="9387" w:y="3587"/>
        <w:numPr>
          <w:ilvl w:val="0"/>
          <w:numId w:val="2"/>
        </w:numPr>
        <w:shd w:val="clear" w:color="auto" w:fill="auto"/>
        <w:spacing w:after="0" w:line="221" w:lineRule="exact"/>
        <w:ind w:left="180" w:right="40"/>
        <w:jc w:val="left"/>
      </w:pPr>
      <w:r>
        <w:t xml:space="preserve"> Зовнішній борг млрд. дол. США</w:t>
      </w:r>
    </w:p>
    <w:p w:rsidR="00916841" w:rsidRDefault="00653561">
      <w:pPr>
        <w:pStyle w:val="ac"/>
        <w:framePr w:w="6355" w:h="499" w:hRule="exact" w:wrap="around" w:vAnchor="page" w:hAnchor="page" w:x="2480" w:y="5540"/>
        <w:shd w:val="clear" w:color="auto" w:fill="auto"/>
        <w:spacing w:after="51" w:line="160" w:lineRule="exact"/>
        <w:ind w:firstLine="0"/>
        <w:jc w:val="left"/>
      </w:pPr>
      <w:r>
        <w:t xml:space="preserve">2006 рік 2007 рік 2008 рік 2009 рік 2010 рік </w:t>
      </w:r>
      <w:r>
        <w:t>2011 рік 2012 рік Ікв 2013</w:t>
      </w:r>
    </w:p>
    <w:p w:rsidR="00916841" w:rsidRDefault="00653561">
      <w:pPr>
        <w:pStyle w:val="ac"/>
        <w:framePr w:w="6355" w:h="499" w:hRule="exact" w:wrap="around" w:vAnchor="page" w:hAnchor="page" w:x="2480" w:y="5540"/>
        <w:shd w:val="clear" w:color="auto" w:fill="auto"/>
        <w:spacing w:after="0" w:line="160" w:lineRule="exact"/>
        <w:ind w:right="160" w:firstLine="0"/>
        <w:jc w:val="right"/>
      </w:pPr>
      <w:r>
        <w:t>року</w:t>
      </w:r>
    </w:p>
    <w:p w:rsidR="00916841" w:rsidRDefault="00653561">
      <w:pPr>
        <w:pStyle w:val="26"/>
        <w:framePr w:w="5794" w:h="216" w:hRule="exact" w:wrap="around" w:vAnchor="page" w:hAnchor="page" w:x="3219" w:y="6471"/>
        <w:shd w:val="clear" w:color="auto" w:fill="auto"/>
        <w:spacing w:line="170" w:lineRule="exact"/>
      </w:pPr>
      <w:r>
        <w:rPr>
          <w:rStyle w:val="20pt"/>
        </w:rPr>
        <w:t xml:space="preserve">Рис. 4. </w:t>
      </w:r>
      <w:r>
        <w:t xml:space="preserve">Динаміка державного боргу 2006 </w:t>
      </w:r>
      <w:r>
        <w:rPr>
          <w:lang w:val="en-US" w:eastAsia="en-US" w:bidi="en-US"/>
        </w:rPr>
        <w:t xml:space="preserve">p. </w:t>
      </w:r>
      <w:r>
        <w:t>-1 кв. 2013 р.</w:t>
      </w:r>
      <w:r>
        <w:rPr>
          <w:rStyle w:val="20pt"/>
        </w:rPr>
        <w:t xml:space="preserve"> [6]</w:t>
      </w:r>
    </w:p>
    <w:p w:rsidR="00916841" w:rsidRDefault="00653561">
      <w:pPr>
        <w:pStyle w:val="a7"/>
        <w:framePr w:w="9082" w:h="7901" w:hRule="exact" w:wrap="around" w:vAnchor="page" w:hAnchor="page" w:x="1572" w:y="6948"/>
        <w:shd w:val="clear" w:color="auto" w:fill="auto"/>
        <w:spacing w:before="0"/>
        <w:ind w:left="20" w:right="20" w:firstLine="280"/>
      </w:pPr>
      <w:r>
        <w:t>Як видно із рис. 4, державний борг має стійку тенденцію до збільшення. За станом на 31 грудня 2012 р. державний борг України становив 399,2 млрд. грн. При цьому де</w:t>
      </w:r>
      <w:r>
        <w:t>ржавний зовнішній борг становив 208,9 млрд. грн., або 26,1 млрд. дол. США, а державний внутрішній борг - 190,3 млрд. грн., або 23,8 млрд. дол. США. Відношення державного боргу до ВВП на кінець 2012 р. становило 28,3%, що, за мірками країн Євросоюзу, є незн</w:t>
      </w:r>
      <w:r>
        <w:t>ачним показником (у країнах ЄС максимальне допустиме значення - 60%) [18].</w:t>
      </w:r>
    </w:p>
    <w:p w:rsidR="00916841" w:rsidRDefault="00653561">
      <w:pPr>
        <w:pStyle w:val="a7"/>
        <w:framePr w:w="9082" w:h="7901" w:hRule="exact" w:wrap="around" w:vAnchor="page" w:hAnchor="page" w:x="1572" w:y="6948"/>
        <w:shd w:val="clear" w:color="auto" w:fill="auto"/>
        <w:spacing w:before="0"/>
        <w:ind w:left="20" w:right="20" w:firstLine="280"/>
      </w:pPr>
      <w:r>
        <w:t>Бюджетом на 2013 р. передбачено боргові виплати на суму 116,1 млрд. грн. (при середньому значенні курсу 8,4 грн./ дол.), що буде чинити тиск на золотовалютні резерви держави [19].</w:t>
      </w:r>
    </w:p>
    <w:p w:rsidR="00916841" w:rsidRDefault="00653561">
      <w:pPr>
        <w:pStyle w:val="a7"/>
        <w:framePr w:w="9082" w:h="7901" w:hRule="exact" w:wrap="around" w:vAnchor="page" w:hAnchor="page" w:x="1572" w:y="6948"/>
        <w:shd w:val="clear" w:color="auto" w:fill="auto"/>
        <w:spacing w:before="0"/>
        <w:ind w:left="20" w:right="20" w:firstLine="280"/>
      </w:pPr>
      <w:r>
        <w:t>Щ</w:t>
      </w:r>
      <w:r>
        <w:t>о ж до структури державного боргу, то Україна за станом на 31.12.2012 р. має погасити 42,1% у гривнях, 37,2% - у доларах США [20]. На нашу думку, існує певна невизначеність щодо доцільності девальвації національної грошової одиниці (навіть до прогнозованог</w:t>
      </w:r>
      <w:r>
        <w:t>о на 2013 р. рівня 8,4 грн ./дол.), оскільки після девальвації гривні збільшиться борг у іноземній валюті, може зменшитись сальдо платіжного балансу через дешеву вітчизняну валюту. Позитивна девальвація буде тоді, коли спостерігатиметься перевага внутрішнь</w:t>
      </w:r>
      <w:r>
        <w:t>ого ринку, товари українських підприємств будуть більш конкурентоспроможні, ніжтовари іноземного виробництва, і вітчизняні споживачі вибиратимуть саме товари українського виробника. На наш погляд, в умовах сьогодення такий прогноз споживчих настроїв населе</w:t>
      </w:r>
      <w:r>
        <w:t>ння є малоймовірним.</w:t>
      </w:r>
    </w:p>
    <w:p w:rsidR="00916841" w:rsidRDefault="00653561">
      <w:pPr>
        <w:pStyle w:val="a7"/>
        <w:framePr w:w="9082" w:h="7901" w:hRule="exact" w:wrap="around" w:vAnchor="page" w:hAnchor="page" w:x="1572" w:y="6948"/>
        <w:shd w:val="clear" w:color="auto" w:fill="auto"/>
        <w:spacing w:before="0"/>
        <w:ind w:left="20" w:right="20" w:firstLine="280"/>
      </w:pPr>
      <w:r>
        <w:t>Для посилення дієвості валютної політики НБУ останнім часом широко застосовує адміністративні важелі впливу на валютносу сегменті фінансового ринку. У листопаді 2012 р. через внесення змін до законодавства було розширено інструментарій</w:t>
      </w:r>
      <w:r>
        <w:t xml:space="preserve"> впливу Національного банку України на грошово- кредитний ринок. НБУ отримав право змінювати терміни розрахунку за операціями з експорту-імпорту та запроваджувати обов’язковий 50%-й продаж експортної виручки. Крім того, передбачається надати Нацбанку право</w:t>
      </w:r>
      <w:r>
        <w:t xml:space="preserve"> тимчасово змінювати терміни розрахунків за операціями з експорту та імпорту товарів [21].</w:t>
      </w:r>
    </w:p>
    <w:p w:rsidR="00916841" w:rsidRDefault="00653561">
      <w:pPr>
        <w:pStyle w:val="a7"/>
        <w:framePr w:w="9082" w:h="7901" w:hRule="exact" w:wrap="around" w:vAnchor="page" w:hAnchor="page" w:x="1572" w:y="6948"/>
        <w:shd w:val="clear" w:color="auto" w:fill="auto"/>
        <w:spacing w:before="0"/>
        <w:ind w:left="20" w:right="20" w:firstLine="280"/>
      </w:pPr>
      <w:r>
        <w:t>Окремі пропоновані НБУ адміністративні інструменти регулювання валютного ринку були надто радикальними, зокрема наміри запровадити 15%-йзбірдо Пенсійного фонду при п</w:t>
      </w:r>
      <w:r>
        <w:t>родажі фізичними особами готівкової іноземної валюти [22]. Прийняття цього законопроекту не відбулося, але такі дії сприяли зменшенню попиту на іноземну валюту на ринку. Отримані додаткові інструменти було застосовано наприкінці листопада 2012 р. і вже в г</w:t>
      </w:r>
      <w:r>
        <w:t>рудні ефективність їхнього застосування мала наочне підтвердження. Так, у грудні 2012 р. чистий середньоденний валютний попит знизився за безготівковими операціями в 3,4 разу, а за готівковими - у 6,9 разу [6].</w:t>
      </w:r>
    </w:p>
    <w:p w:rsidR="00916841" w:rsidRDefault="00653561">
      <w:pPr>
        <w:pStyle w:val="24"/>
        <w:framePr w:wrap="around" w:vAnchor="page" w:hAnchor="page" w:x="1563" w:y="15538"/>
        <w:shd w:val="clear" w:color="auto" w:fill="auto"/>
        <w:spacing w:line="130" w:lineRule="exact"/>
        <w:ind w:left="20"/>
      </w:pPr>
      <w:r>
        <w:t>Наука молода № 19, 2013 р.</w:t>
      </w:r>
    </w:p>
    <w:p w:rsidR="00916841" w:rsidRDefault="00653561">
      <w:pPr>
        <w:pStyle w:val="a5"/>
        <w:framePr w:wrap="around" w:vAnchor="page" w:hAnchor="page" w:x="10438" w:y="15561"/>
        <w:shd w:val="clear" w:color="auto" w:fill="auto"/>
        <w:spacing w:line="170" w:lineRule="exact"/>
        <w:ind w:left="20"/>
      </w:pPr>
      <w:r>
        <w:t>97</w:t>
      </w:r>
    </w:p>
    <w:p w:rsidR="00916841" w:rsidRDefault="00916841">
      <w:pPr>
        <w:rPr>
          <w:sz w:val="2"/>
          <w:szCs w:val="2"/>
        </w:rPr>
        <w:sectPr w:rsidR="00916841">
          <w:pgSz w:w="11909" w:h="16838"/>
          <w:pgMar w:top="0" w:right="0" w:bottom="0" w:left="0" w:header="0" w:footer="3" w:gutter="0"/>
          <w:cols w:space="720"/>
          <w:noEndnote/>
          <w:docGrid w:linePitch="360"/>
        </w:sectPr>
      </w:pPr>
    </w:p>
    <w:p w:rsidR="00916841" w:rsidRDefault="00653561">
      <w:pPr>
        <w:pStyle w:val="32"/>
        <w:framePr w:w="9158" w:h="437" w:hRule="exact" w:wrap="around" w:vAnchor="page" w:hAnchor="page" w:x="1541" w:y="1062"/>
        <w:shd w:val="clear" w:color="auto" w:fill="auto"/>
        <w:spacing w:after="38" w:line="150" w:lineRule="exact"/>
        <w:ind w:left="40"/>
      </w:pPr>
      <w:r>
        <w:lastRenderedPageBreak/>
        <w:t>Б. Адамик, А. Скірка</w:t>
      </w:r>
    </w:p>
    <w:p w:rsidR="00916841" w:rsidRDefault="00653561">
      <w:pPr>
        <w:pStyle w:val="a5"/>
        <w:framePr w:w="9158" w:h="437" w:hRule="exact" w:wrap="around" w:vAnchor="page" w:hAnchor="page" w:x="1541" w:y="1062"/>
        <w:shd w:val="clear" w:color="auto" w:fill="auto"/>
        <w:spacing w:line="170" w:lineRule="exact"/>
        <w:ind w:left="40"/>
      </w:pPr>
      <w:r>
        <w:t>Аналіз впливу валютної...</w:t>
      </w:r>
    </w:p>
    <w:p w:rsidR="00916841" w:rsidRDefault="00653561">
      <w:pPr>
        <w:pStyle w:val="a7"/>
        <w:framePr w:w="9110" w:h="13244" w:hRule="exact" w:wrap="around" w:vAnchor="page" w:hAnchor="page" w:x="1565" w:y="1735"/>
        <w:shd w:val="clear" w:color="auto" w:fill="auto"/>
        <w:spacing w:before="0"/>
        <w:ind w:left="20" w:right="40" w:firstLine="300"/>
      </w:pPr>
      <w:r>
        <w:t>Однак такі адміністративні обмеження можуть бути ефективними лише у короткостроковому періоді. Потреба у їхньому застосуванні зумовлюється насамперед загальною економічною ситуацією в кр</w:t>
      </w:r>
      <w:r>
        <w:t>аїні, а також особливостями функціонування валютного ринку.</w:t>
      </w:r>
    </w:p>
    <w:p w:rsidR="00916841" w:rsidRDefault="00653561">
      <w:pPr>
        <w:pStyle w:val="a7"/>
        <w:framePr w:w="9110" w:h="13244" w:hRule="exact" w:wrap="around" w:vAnchor="page" w:hAnchor="page" w:x="1565" w:y="1735"/>
        <w:shd w:val="clear" w:color="auto" w:fill="auto"/>
        <w:spacing w:before="0"/>
        <w:ind w:left="20" w:right="40" w:firstLine="300"/>
      </w:pPr>
      <w:r>
        <w:t>Провівши аналіз реалізації валютної політики НБУ на сучасному етапі розвитку економіки, можна зробити висновок, що Україні для подолання кризових явищ в економіці необхідна стабільна курсова динам</w:t>
      </w:r>
      <w:r>
        <w:t>іка. Завдання валютної політики щодо забезпечення стабільності обмінного курсу національної грошової одиниці має бути невід’ємною складовою процесу реалізації державної економічної політики. В умовах різкого погіршення економічної ситуації в Україні під вп</w:t>
      </w:r>
      <w:r>
        <w:t>ливом світової кризи саме валютна політика стає одним із найголовніших інструментів державного регулювання економіки. НБУ змушений проводити інтервенції, щоби «погасити» великий попит на іноземну валюту та підтримувати рівновагу платіжного балансу.</w:t>
      </w:r>
    </w:p>
    <w:p w:rsidR="00916841" w:rsidRDefault="00653561">
      <w:pPr>
        <w:pStyle w:val="a7"/>
        <w:framePr w:w="9110" w:h="13244" w:hRule="exact" w:wrap="around" w:vAnchor="page" w:hAnchor="page" w:x="1565" w:y="1735"/>
        <w:shd w:val="clear" w:color="auto" w:fill="auto"/>
        <w:spacing w:before="0"/>
        <w:ind w:left="20" w:right="40" w:firstLine="300"/>
      </w:pPr>
      <w:r>
        <w:t>Саме ві</w:t>
      </w:r>
      <w:r>
        <w:t>д того, наскільки дієвими виявляться заходи валютної політики у забезпеченні стабільності гривні, залежать подальші перспективи економічного розвитку та подолання фінансової кризи.</w:t>
      </w:r>
    </w:p>
    <w:p w:rsidR="00916841" w:rsidRDefault="00653561">
      <w:pPr>
        <w:pStyle w:val="a7"/>
        <w:framePr w:w="9110" w:h="13244" w:hRule="exact" w:wrap="around" w:vAnchor="page" w:hAnchor="page" w:x="1565" w:y="1735"/>
        <w:shd w:val="clear" w:color="auto" w:fill="auto"/>
        <w:spacing w:before="0"/>
        <w:ind w:left="20" w:right="40" w:firstLine="300"/>
      </w:pPr>
      <w:r>
        <w:t>Україна сьогодні майже не представлена на міжнародних валютних ринках. Фунд</w:t>
      </w:r>
      <w:r>
        <w:t>аментальною причиною цього є слабкість національної економіки. Тому на сучасному етапі розвитку української економіки, валютна політика Національного банку має бути спрямована на: поетапний перехід до фактичного застосування режиму плаваючого курсу, оскіль</w:t>
      </w:r>
      <w:r>
        <w:t>ки саме це є рекомендацією МВФ, що дав би змогу економіці України протистояти зовнішнім «шокам» та згладжувати «удари» світового фінансового ринку, або застосування валютного коридору; паралельне введення таргетування ін</w:t>
      </w:r>
      <w:r>
        <w:softHyphen/>
        <w:t>фляції як основного орієнтира монет</w:t>
      </w:r>
      <w:r>
        <w:t>арної політики; визначення курсових орієнтирів на один рік, а саме запровадження валютного коридору в межах 5-7%, що дало б змогу банкам, населенню і підприємствам бачити й розуміти довгострокову політику монетарних органів.</w:t>
      </w:r>
    </w:p>
    <w:p w:rsidR="00916841" w:rsidRDefault="00653561">
      <w:pPr>
        <w:pStyle w:val="a7"/>
        <w:framePr w:w="9110" w:h="13244" w:hRule="exact" w:wrap="around" w:vAnchor="page" w:hAnchor="page" w:x="1565" w:y="1735"/>
        <w:shd w:val="clear" w:color="auto" w:fill="auto"/>
        <w:spacing w:before="0" w:after="304"/>
        <w:ind w:left="20" w:right="40" w:firstLine="300"/>
      </w:pPr>
      <w:r>
        <w:t xml:space="preserve">Головним чинником для </w:t>
      </w:r>
      <w:r>
        <w:t>стабілізації гривні, на нашу думку, є поступове переведення її в режим повної конвертованості, тобто вільного обміну на іноземні валюти. Потрібно домогтися такої ситуації, коли гривня стане валютою, яка необмежено й вільно обмінюється за поточними, капітал</w:t>
      </w:r>
      <w:r>
        <w:t>ьними та інвестиційними операціями. Потрібно здійснити ефективні структурні реформи, які забезпечать економічне зростання та підвищення добробуту населення.</w:t>
      </w:r>
    </w:p>
    <w:p w:rsidR="00916841" w:rsidRDefault="00653561">
      <w:pPr>
        <w:pStyle w:val="221"/>
        <w:framePr w:w="9110" w:h="13244" w:hRule="exact" w:wrap="around" w:vAnchor="page" w:hAnchor="page" w:x="1565" w:y="1735"/>
        <w:shd w:val="clear" w:color="auto" w:fill="auto"/>
        <w:spacing w:before="0" w:after="150" w:line="170" w:lineRule="exact"/>
        <w:ind w:left="20"/>
      </w:pPr>
      <w:bookmarkStart w:id="2" w:name="bookmark2"/>
      <w:r>
        <w:t>Література</w:t>
      </w:r>
      <w:bookmarkEnd w:id="2"/>
    </w:p>
    <w:p w:rsidR="00916841" w:rsidRDefault="00653561">
      <w:pPr>
        <w:pStyle w:val="30"/>
        <w:framePr w:w="9110" w:h="13244" w:hRule="exact" w:wrap="around" w:vAnchor="page" w:hAnchor="page" w:x="1565" w:y="1735"/>
        <w:numPr>
          <w:ilvl w:val="0"/>
          <w:numId w:val="3"/>
        </w:numPr>
        <w:shd w:val="clear" w:color="auto" w:fill="auto"/>
        <w:spacing w:before="0" w:after="0"/>
        <w:ind w:left="720" w:hanging="400"/>
      </w:pPr>
      <w:r>
        <w:t xml:space="preserve"> Дзюблюк О. В. Валютна політика: підруч. / О. В. Дзюблюк. - К.: Знання, 2007. - 422 с.</w:t>
      </w:r>
    </w:p>
    <w:p w:rsidR="00916841" w:rsidRDefault="00653561">
      <w:pPr>
        <w:pStyle w:val="30"/>
        <w:framePr w:w="9110" w:h="13244" w:hRule="exact" w:wrap="around" w:vAnchor="page" w:hAnchor="page" w:x="1565" w:y="1735"/>
        <w:numPr>
          <w:ilvl w:val="0"/>
          <w:numId w:val="3"/>
        </w:numPr>
        <w:shd w:val="clear" w:color="auto" w:fill="auto"/>
        <w:spacing w:before="0" w:after="0"/>
        <w:ind w:left="720" w:right="40" w:hanging="400"/>
        <w:jc w:val="left"/>
      </w:pPr>
      <w:r>
        <w:t xml:space="preserve"> </w:t>
      </w:r>
      <w:r>
        <w:t>Центральний банк та грошово-кредитна політика : підруч.</w:t>
      </w:r>
      <w:r>
        <w:rPr>
          <w:rStyle w:val="3David12pt0pt"/>
        </w:rPr>
        <w:t xml:space="preserve"> / </w:t>
      </w:r>
      <w:r>
        <w:t>за ред. А. М. Мороза, М. Ф. Пуховкіної. - К.: КНЕУ, 2005. - 556 с.</w:t>
      </w:r>
    </w:p>
    <w:p w:rsidR="00916841" w:rsidRDefault="00653561">
      <w:pPr>
        <w:pStyle w:val="30"/>
        <w:framePr w:w="9110" w:h="13244" w:hRule="exact" w:wrap="around" w:vAnchor="page" w:hAnchor="page" w:x="1565" w:y="1735"/>
        <w:numPr>
          <w:ilvl w:val="0"/>
          <w:numId w:val="3"/>
        </w:numPr>
        <w:shd w:val="clear" w:color="auto" w:fill="auto"/>
        <w:spacing w:before="0" w:after="0"/>
        <w:ind w:left="720" w:right="40" w:hanging="400"/>
      </w:pPr>
      <w:r>
        <w:t xml:space="preserve"> Шпенюк О. Валютні інтервенції як інструмент валютно-курсової політики [Електронний ресурс]/О. Шпенюк. - Режим доступу: </w:t>
      </w:r>
      <w:hyperlink r:id="rId14" w:history="1">
        <w:r>
          <w:rPr>
            <w:rStyle w:val="a3"/>
            <w:lang w:val="en-US" w:eastAsia="en-US" w:bidi="en-US"/>
          </w:rPr>
          <w:t>http://www.nbuv.gov.ua/portal/Soc Gum/Ekonomist/</w:t>
        </w:r>
      </w:hyperlink>
      <w:r>
        <w:rPr>
          <w:lang w:val="en-US" w:eastAsia="en-US" w:bidi="en-US"/>
        </w:rPr>
        <w:t xml:space="preserve"> 2011_1/66-69.pdf.</w:t>
      </w:r>
    </w:p>
    <w:p w:rsidR="00916841" w:rsidRDefault="00653561">
      <w:pPr>
        <w:pStyle w:val="30"/>
        <w:framePr w:w="9110" w:h="13244" w:hRule="exact" w:wrap="around" w:vAnchor="page" w:hAnchor="page" w:x="1565" w:y="1735"/>
        <w:numPr>
          <w:ilvl w:val="0"/>
          <w:numId w:val="3"/>
        </w:numPr>
        <w:shd w:val="clear" w:color="auto" w:fill="auto"/>
        <w:spacing w:before="0" w:after="0"/>
        <w:ind w:left="720" w:right="40" w:hanging="400"/>
      </w:pPr>
      <w:r>
        <w:t xml:space="preserve"> Чабаненко І. Л. Золотовалютні резерви: проблеми формування та управління, 2012 [Електроннийресурс//1. Л. Чабаненко, В. Є. Фіногєєва. - Режим доступу:</w:t>
      </w:r>
      <w:r>
        <w:rPr>
          <w:lang w:val="en-US" w:eastAsia="en-US" w:bidi="en-US"/>
        </w:rPr>
        <w:t>http://archive.nbuv. gov. ua/portal/Soc_Gum/Tpaeiv/2012_2_ 1/48.pdf.</w:t>
      </w:r>
    </w:p>
    <w:p w:rsidR="00916841" w:rsidRDefault="00653561">
      <w:pPr>
        <w:pStyle w:val="30"/>
        <w:framePr w:w="9110" w:h="13244" w:hRule="exact" w:wrap="around" w:vAnchor="page" w:hAnchor="page" w:x="1565" w:y="1735"/>
        <w:numPr>
          <w:ilvl w:val="0"/>
          <w:numId w:val="3"/>
        </w:numPr>
        <w:shd w:val="clear" w:color="auto" w:fill="auto"/>
        <w:spacing w:before="0" w:after="0"/>
        <w:ind w:left="720" w:right="40" w:hanging="400"/>
        <w:jc w:val="left"/>
      </w:pPr>
      <w:r>
        <w:rPr>
          <w:lang w:val="en-US" w:eastAsia="en-US" w:bidi="en-US"/>
        </w:rPr>
        <w:t xml:space="preserve"> </w:t>
      </w:r>
      <w:r>
        <w:t>Офіційний сайт Національного банку У</w:t>
      </w:r>
      <w:r>
        <w:t xml:space="preserve">країни [Електронний ресурс]. - Режим доступу: </w:t>
      </w:r>
      <w:r>
        <w:rPr>
          <w:lang w:val="en-US" w:eastAsia="en-US" w:bidi="en-US"/>
        </w:rPr>
        <w:t>http//www. bank. gov. ua.</w:t>
      </w:r>
    </w:p>
    <w:p w:rsidR="00916841" w:rsidRDefault="00653561">
      <w:pPr>
        <w:pStyle w:val="30"/>
        <w:framePr w:w="9110" w:h="13244" w:hRule="exact" w:wrap="around" w:vAnchor="page" w:hAnchor="page" w:x="1565" w:y="1735"/>
        <w:numPr>
          <w:ilvl w:val="0"/>
          <w:numId w:val="3"/>
        </w:numPr>
        <w:shd w:val="clear" w:color="auto" w:fill="auto"/>
        <w:spacing w:before="0" w:after="0"/>
        <w:ind w:left="720" w:right="40" w:hanging="400"/>
        <w:jc w:val="left"/>
      </w:pPr>
      <w:r>
        <w:rPr>
          <w:lang w:val="en-US" w:eastAsia="en-US" w:bidi="en-US"/>
        </w:rPr>
        <w:t xml:space="preserve"> </w:t>
      </w:r>
      <w:r>
        <w:t xml:space="preserve">Монетарний огляд НБУ за 2012 рік [Електронний ресурс]. - Режим доступу : </w:t>
      </w:r>
      <w:r>
        <w:rPr>
          <w:lang w:val="en-US" w:eastAsia="en-US" w:bidi="en-US"/>
        </w:rPr>
        <w:t xml:space="preserve">http:// </w:t>
      </w:r>
      <w:hyperlink r:id="rId15" w:history="1">
        <w:r>
          <w:rPr>
            <w:rStyle w:val="a3"/>
            <w:lang w:val="en-US" w:eastAsia="en-US" w:bidi="en-US"/>
          </w:rPr>
          <w:t xml:space="preserve">www. bank. gov. </w:t>
        </w:r>
        <w:r>
          <w:rPr>
            <w:rStyle w:val="a3"/>
            <w:lang w:val="en-US" w:eastAsia="en-US" w:bidi="en-US"/>
          </w:rPr>
          <w:t>ua/doccatalog/document?id=503712.</w:t>
        </w:r>
      </w:hyperlink>
    </w:p>
    <w:p w:rsidR="00916841" w:rsidRDefault="00653561">
      <w:pPr>
        <w:pStyle w:val="30"/>
        <w:framePr w:w="9110" w:h="13244" w:hRule="exact" w:wrap="around" w:vAnchor="page" w:hAnchor="page" w:x="1565" w:y="1735"/>
        <w:numPr>
          <w:ilvl w:val="0"/>
          <w:numId w:val="3"/>
        </w:numPr>
        <w:shd w:val="clear" w:color="auto" w:fill="auto"/>
        <w:spacing w:before="0" w:after="0"/>
        <w:ind w:left="720" w:right="40" w:hanging="400"/>
      </w:pPr>
      <w:r>
        <w:rPr>
          <w:lang w:val="en-US" w:eastAsia="en-US" w:bidi="en-US"/>
        </w:rPr>
        <w:t xml:space="preserve"> </w:t>
      </w:r>
      <w:r>
        <w:t>Коваленко В. В. Обґрунтування достатнього рівня золотовалютних резервів держави</w:t>
      </w:r>
      <w:r>
        <w:rPr>
          <w:rStyle w:val="3David12pt0pt"/>
        </w:rPr>
        <w:t xml:space="preserve"> / </w:t>
      </w:r>
      <w:r>
        <w:t xml:space="preserve">В. В. Коваленко, М. С. Сілантьєв //Проблеми і перспективи розвитку банківської' системи України. - 2011. - Вип. 21. - </w:t>
      </w:r>
      <w:r>
        <w:rPr>
          <w:lang w:val="en-US" w:eastAsia="en-US" w:bidi="en-US"/>
        </w:rPr>
        <w:t xml:space="preserve">C. </w:t>
      </w:r>
      <w:r>
        <w:t>163-172.</w:t>
      </w:r>
    </w:p>
    <w:p w:rsidR="00916841" w:rsidRDefault="00653561">
      <w:pPr>
        <w:pStyle w:val="30"/>
        <w:framePr w:w="9110" w:h="13244" w:hRule="exact" w:wrap="around" w:vAnchor="page" w:hAnchor="page" w:x="1565" w:y="1735"/>
        <w:numPr>
          <w:ilvl w:val="0"/>
          <w:numId w:val="3"/>
        </w:numPr>
        <w:shd w:val="clear" w:color="auto" w:fill="auto"/>
        <w:spacing w:before="0" w:after="0"/>
        <w:ind w:left="720" w:right="40" w:hanging="400"/>
        <w:jc w:val="left"/>
      </w:pPr>
      <w:r>
        <w:t xml:space="preserve"> Оцінк</w:t>
      </w:r>
      <w:r>
        <w:t>а стану платіжного балансу в березні 2013 року [Електронний ресурс]. - Режим до</w:t>
      </w:r>
      <w:r>
        <w:softHyphen/>
        <w:t xml:space="preserve">ступу : </w:t>
      </w:r>
      <w:hyperlink r:id="rId16" w:history="1">
        <w:r>
          <w:rPr>
            <w:rStyle w:val="a3"/>
            <w:lang w:val="en-US" w:eastAsia="en-US" w:bidi="en-US"/>
          </w:rPr>
          <w:t>http://www. bank. gov. ua/doccatalog/document?id=91917.</w:t>
        </w:r>
      </w:hyperlink>
    </w:p>
    <w:p w:rsidR="00916841" w:rsidRDefault="00653561">
      <w:pPr>
        <w:pStyle w:val="30"/>
        <w:framePr w:w="9110" w:h="13244" w:hRule="exact" w:wrap="around" w:vAnchor="page" w:hAnchor="page" w:x="1565" w:y="1735"/>
        <w:numPr>
          <w:ilvl w:val="0"/>
          <w:numId w:val="3"/>
        </w:numPr>
        <w:shd w:val="clear" w:color="auto" w:fill="auto"/>
        <w:spacing w:before="0" w:after="0"/>
        <w:ind w:left="720" w:right="40" w:hanging="400"/>
        <w:jc w:val="left"/>
      </w:pPr>
      <w:r>
        <w:rPr>
          <w:lang w:val="en-US" w:eastAsia="en-US" w:bidi="en-US"/>
        </w:rPr>
        <w:t xml:space="preserve"> </w:t>
      </w:r>
      <w:r>
        <w:t>Статистичні матеріали НБУ за березень 2013 р</w:t>
      </w:r>
      <w:r>
        <w:t>оку [Електронний ресурс]. - Режим досту</w:t>
      </w:r>
      <w:r>
        <w:softHyphen/>
        <w:t xml:space="preserve">пу : </w:t>
      </w:r>
      <w:hyperlink r:id="rId17" w:history="1">
        <w:r>
          <w:rPr>
            <w:rStyle w:val="a3"/>
            <w:lang w:val="en-US" w:eastAsia="en-US" w:bidi="en-US"/>
          </w:rPr>
          <w:t>http://www.bank.gov.ua/files/stat.pdf.</w:t>
        </w:r>
      </w:hyperlink>
    </w:p>
    <w:p w:rsidR="00916841" w:rsidRDefault="00653561">
      <w:pPr>
        <w:pStyle w:val="30"/>
        <w:framePr w:w="9110" w:h="13244" w:hRule="exact" w:wrap="around" w:vAnchor="page" w:hAnchor="page" w:x="1565" w:y="1735"/>
        <w:numPr>
          <w:ilvl w:val="0"/>
          <w:numId w:val="3"/>
        </w:numPr>
        <w:shd w:val="clear" w:color="auto" w:fill="auto"/>
        <w:tabs>
          <w:tab w:val="left" w:pos="671"/>
        </w:tabs>
        <w:spacing w:before="0" w:after="0"/>
        <w:ind w:left="720" w:right="40"/>
      </w:pPr>
      <w:r>
        <w:t>Журавка Ф. О. Механізм реалізації валютної політики в Україні: дисертація. Суми: ДВНЗ «УАБС НБУ», 2009. - 418 с. [Елект</w:t>
      </w:r>
      <w:r>
        <w:t>ронний ресурс]</w:t>
      </w:r>
      <w:r>
        <w:rPr>
          <w:rStyle w:val="3David12pt0pt"/>
        </w:rPr>
        <w:t xml:space="preserve"> / </w:t>
      </w:r>
      <w:r>
        <w:t xml:space="preserve">Ф. О. Журавка. - Режим доступу : </w:t>
      </w:r>
      <w:r>
        <w:rPr>
          <w:lang w:val="en-US" w:eastAsia="en-US" w:bidi="en-US"/>
        </w:rPr>
        <w:t>dspace.uabs.edu. ua/bitstream/123456789/3482/1/zhuravka_doctor.pdf.</w:t>
      </w:r>
    </w:p>
    <w:p w:rsidR="00916841" w:rsidRDefault="00653561">
      <w:pPr>
        <w:pStyle w:val="a5"/>
        <w:framePr w:wrap="around" w:vAnchor="page" w:hAnchor="page" w:x="1527" w:y="15552"/>
        <w:shd w:val="clear" w:color="auto" w:fill="auto"/>
        <w:spacing w:line="170" w:lineRule="exact"/>
        <w:ind w:left="20"/>
      </w:pPr>
      <w:r>
        <w:t>98</w:t>
      </w:r>
    </w:p>
    <w:p w:rsidR="00916841" w:rsidRDefault="00653561">
      <w:pPr>
        <w:pStyle w:val="24"/>
        <w:framePr w:wrap="around" w:vAnchor="page" w:hAnchor="page" w:x="8458" w:y="15558"/>
        <w:shd w:val="clear" w:color="auto" w:fill="auto"/>
        <w:spacing w:line="130" w:lineRule="exact"/>
        <w:ind w:left="20"/>
      </w:pPr>
      <w:r>
        <w:t>Наука молода № 19, 2013 р.</w:t>
      </w:r>
    </w:p>
    <w:p w:rsidR="00916841" w:rsidRDefault="00916841">
      <w:pPr>
        <w:rPr>
          <w:sz w:val="2"/>
          <w:szCs w:val="2"/>
        </w:rPr>
        <w:sectPr w:rsidR="00916841">
          <w:pgSz w:w="11909" w:h="16838"/>
          <w:pgMar w:top="0" w:right="0" w:bottom="0" w:left="0" w:header="0" w:footer="3" w:gutter="0"/>
          <w:cols w:space="720"/>
          <w:noEndnote/>
          <w:docGrid w:linePitch="360"/>
        </w:sectPr>
      </w:pPr>
    </w:p>
    <w:p w:rsidR="00916841" w:rsidRDefault="00653561">
      <w:pPr>
        <w:pStyle w:val="a5"/>
        <w:framePr w:wrap="around" w:vAnchor="page" w:hAnchor="page" w:x="5264" w:y="1280"/>
        <w:shd w:val="clear" w:color="auto" w:fill="auto"/>
        <w:spacing w:line="170" w:lineRule="exact"/>
        <w:ind w:left="20"/>
      </w:pPr>
      <w:r>
        <w:lastRenderedPageBreak/>
        <w:t>Перспективи розвитку фінансово-кредитної системи</w:t>
      </w:r>
    </w:p>
    <w:p w:rsidR="00916841" w:rsidRDefault="00653561">
      <w:pPr>
        <w:pStyle w:val="30"/>
        <w:framePr w:w="8789" w:h="7561" w:hRule="exact" w:wrap="around" w:vAnchor="page" w:hAnchor="page" w:x="1726" w:y="1699"/>
        <w:numPr>
          <w:ilvl w:val="0"/>
          <w:numId w:val="3"/>
        </w:numPr>
        <w:shd w:val="clear" w:color="auto" w:fill="auto"/>
        <w:spacing w:before="0" w:after="0"/>
        <w:ind w:left="400" w:right="20" w:hanging="380"/>
      </w:pPr>
      <w:r>
        <w:t xml:space="preserve"> Український бізнес-ресурс </w:t>
      </w:r>
      <w:r>
        <w:rPr>
          <w:lang w:val="en-US" w:eastAsia="en-US" w:bidi="en-US"/>
        </w:rPr>
        <w:t xml:space="preserve">UBR. </w:t>
      </w:r>
      <w:r>
        <w:t xml:space="preserve">НБУ </w:t>
      </w:r>
      <w:r>
        <w:t>продолжает делать ставку на доллар США [Елект</w:t>
      </w:r>
      <w:r>
        <w:softHyphen/>
        <w:t xml:space="preserve">ронний ресурс]. - Режим доступу: </w:t>
      </w:r>
      <w:hyperlink r:id="rId18" w:history="1">
        <w:r>
          <w:rPr>
            <w:rStyle w:val="a3"/>
            <w:lang w:val="en-US" w:eastAsia="en-US" w:bidi="en-US"/>
          </w:rPr>
          <w:t>http://ubr. ua/finances/exchange-market/nbu-prodoljit-delat-</w:t>
        </w:r>
      </w:hyperlink>
      <w:r>
        <w:rPr>
          <w:lang w:val="en-US" w:eastAsia="en-US" w:bidi="en-US"/>
        </w:rPr>
        <w:t xml:space="preserve"> stavku-na-dollar-ssha-222539.</w:t>
      </w:r>
    </w:p>
    <w:p w:rsidR="00916841" w:rsidRDefault="00653561">
      <w:pPr>
        <w:pStyle w:val="30"/>
        <w:framePr w:w="8789" w:h="7561" w:hRule="exact" w:wrap="around" w:vAnchor="page" w:hAnchor="page" w:x="1726" w:y="1699"/>
        <w:numPr>
          <w:ilvl w:val="0"/>
          <w:numId w:val="3"/>
        </w:numPr>
        <w:shd w:val="clear" w:color="auto" w:fill="auto"/>
        <w:spacing w:before="0" w:after="0"/>
        <w:ind w:left="400" w:right="20" w:hanging="380"/>
      </w:pPr>
      <w:r>
        <w:t xml:space="preserve"> Український</w:t>
      </w:r>
      <w:r>
        <w:t xml:space="preserve"> медіа-холдинг </w:t>
      </w:r>
      <w:r>
        <w:rPr>
          <w:lang w:val="en-US" w:eastAsia="en-US" w:bidi="en-US"/>
        </w:rPr>
        <w:t xml:space="preserve">Forbes. ua. </w:t>
      </w:r>
      <w:r>
        <w:t>Нацбанк купил рекордньїй обьем золота [Електрон</w:t>
      </w:r>
      <w:r>
        <w:softHyphen/>
        <w:t xml:space="preserve">ний ресурс]. - Режим доступу: </w:t>
      </w:r>
      <w:hyperlink r:id="rId19" w:history="1">
        <w:r>
          <w:rPr>
            <w:rStyle w:val="a3"/>
            <w:lang w:val="en-US" w:eastAsia="en-US" w:bidi="en-US"/>
          </w:rPr>
          <w:t>http://forbes.ua/nation/1347745-nacbank-kupil-rekordnyj-obem-</w:t>
        </w:r>
      </w:hyperlink>
      <w:r>
        <w:rPr>
          <w:lang w:val="en-US" w:eastAsia="en-US" w:bidi="en-US"/>
        </w:rPr>
        <w:t xml:space="preserve"> zolota.</w:t>
      </w:r>
    </w:p>
    <w:p w:rsidR="00916841" w:rsidRDefault="00653561">
      <w:pPr>
        <w:pStyle w:val="30"/>
        <w:framePr w:w="8789" w:h="7561" w:hRule="exact" w:wrap="around" w:vAnchor="page" w:hAnchor="page" w:x="1726" w:y="1699"/>
        <w:numPr>
          <w:ilvl w:val="0"/>
          <w:numId w:val="3"/>
        </w:numPr>
        <w:shd w:val="clear" w:color="auto" w:fill="auto"/>
        <w:spacing w:before="0" w:after="0"/>
        <w:ind w:left="400" w:right="20" w:hanging="380"/>
      </w:pPr>
      <w:r>
        <w:t xml:space="preserve"> Сайт</w:t>
      </w:r>
      <w:r>
        <w:t xml:space="preserve"> новин </w:t>
      </w:r>
      <w:r>
        <w:rPr>
          <w:lang w:val="en-US" w:eastAsia="en-US" w:bidi="en-US"/>
        </w:rPr>
        <w:t xml:space="preserve">Finance. ua. </w:t>
      </w:r>
      <w:r>
        <w:t xml:space="preserve">Золотовалютні резерви Китаю у два рази перевищили золоті запаси решти країн [Електронний ресурс]. - Режим доступу: </w:t>
      </w:r>
      <w:hyperlink r:id="rId20" w:history="1">
        <w:r>
          <w:rPr>
            <w:rStyle w:val="a3"/>
            <w:lang w:val="en-US" w:eastAsia="en-US" w:bidi="en-US"/>
          </w:rPr>
          <w:t>http://news.finance.ua/ua/~/1/0/all/</w:t>
        </w:r>
      </w:hyperlink>
      <w:r>
        <w:rPr>
          <w:lang w:val="en-US" w:eastAsia="en-US" w:bidi="en-US"/>
        </w:rPr>
        <w:t xml:space="preserve"> </w:t>
      </w:r>
      <w:r>
        <w:t>2013/03/04/297764.</w:t>
      </w:r>
    </w:p>
    <w:p w:rsidR="00916841" w:rsidRDefault="00653561">
      <w:pPr>
        <w:pStyle w:val="30"/>
        <w:framePr w:w="8789" w:h="7561" w:hRule="exact" w:wrap="around" w:vAnchor="page" w:hAnchor="page" w:x="1726" w:y="1699"/>
        <w:numPr>
          <w:ilvl w:val="0"/>
          <w:numId w:val="3"/>
        </w:numPr>
        <w:shd w:val="clear" w:color="auto" w:fill="auto"/>
        <w:spacing w:before="0" w:after="0"/>
        <w:ind w:left="400" w:right="20" w:hanging="380"/>
      </w:pPr>
      <w:r>
        <w:t xml:space="preserve"> Береславська О. Курсова політика в Україні: тенденції та перспективи / О. Береславська // Вісник НБУ. - 2011. - № 2 - С. 10-15.</w:t>
      </w:r>
    </w:p>
    <w:p w:rsidR="00916841" w:rsidRDefault="00653561">
      <w:pPr>
        <w:pStyle w:val="30"/>
        <w:framePr w:w="8789" w:h="7561" w:hRule="exact" w:wrap="around" w:vAnchor="page" w:hAnchor="page" w:x="1726" w:y="1699"/>
        <w:numPr>
          <w:ilvl w:val="0"/>
          <w:numId w:val="3"/>
        </w:numPr>
        <w:shd w:val="clear" w:color="auto" w:fill="auto"/>
        <w:spacing w:before="0" w:after="0"/>
        <w:ind w:left="400" w:right="20" w:hanging="380"/>
      </w:pPr>
      <w:r>
        <w:t xml:space="preserve"> Береславська О. Дисбаланси валютного ринку Украіни / О. Береславська // Вісник НБУ. - 2013. - № 3 (205). - С. 3-9.</w:t>
      </w:r>
    </w:p>
    <w:p w:rsidR="00916841" w:rsidRDefault="00653561">
      <w:pPr>
        <w:pStyle w:val="30"/>
        <w:framePr w:w="8789" w:h="7561" w:hRule="exact" w:wrap="around" w:vAnchor="page" w:hAnchor="page" w:x="1726" w:y="1699"/>
        <w:numPr>
          <w:ilvl w:val="0"/>
          <w:numId w:val="3"/>
        </w:numPr>
        <w:shd w:val="clear" w:color="auto" w:fill="auto"/>
        <w:spacing w:before="0" w:after="0"/>
        <w:ind w:left="400" w:right="20" w:hanging="380"/>
      </w:pPr>
      <w:r>
        <w:t xml:space="preserve"> Про стан п</w:t>
      </w:r>
      <w:r>
        <w:t xml:space="preserve">латіжного балансу за 2012 рік [Електронний ресурс]. - Режим доступу: </w:t>
      </w:r>
      <w:r>
        <w:rPr>
          <w:lang w:val="en-US" w:eastAsia="en-US" w:bidi="en-US"/>
        </w:rPr>
        <w:t xml:space="preserve">http:// </w:t>
      </w:r>
      <w:hyperlink r:id="rId21" w:history="1">
        <w:r>
          <w:rPr>
            <w:rStyle w:val="a3"/>
            <w:lang w:val="en-US" w:eastAsia="en-US" w:bidi="en-US"/>
          </w:rPr>
          <w:t>www. bank. gov. ua/doccatalog/document?id=91916.</w:t>
        </w:r>
      </w:hyperlink>
    </w:p>
    <w:p w:rsidR="00916841" w:rsidRDefault="00653561">
      <w:pPr>
        <w:pStyle w:val="30"/>
        <w:framePr w:w="8789" w:h="7561" w:hRule="exact" w:wrap="around" w:vAnchor="page" w:hAnchor="page" w:x="1726" w:y="1699"/>
        <w:numPr>
          <w:ilvl w:val="0"/>
          <w:numId w:val="3"/>
        </w:numPr>
        <w:shd w:val="clear" w:color="auto" w:fill="auto"/>
        <w:spacing w:before="0" w:after="0"/>
        <w:ind w:left="400" w:right="20" w:hanging="380"/>
      </w:pPr>
      <w:r>
        <w:rPr>
          <w:lang w:val="en-US" w:eastAsia="en-US" w:bidi="en-US"/>
        </w:rPr>
        <w:t xml:space="preserve"> </w:t>
      </w:r>
      <w:r>
        <w:t>Інформаційне агентство ЛІГАБізнесінформ: «Депозитнеє ставки сн</w:t>
      </w:r>
      <w:r>
        <w:t>ижаются» [Елект</w:t>
      </w:r>
      <w:r>
        <w:softHyphen/>
        <w:t xml:space="preserve">ронний ресурс]. - Режим доступу: </w:t>
      </w:r>
      <w:hyperlink r:id="rId22" w:history="1">
        <w:r>
          <w:rPr>
            <w:rStyle w:val="a3"/>
            <w:lang w:val="en-US" w:eastAsia="en-US" w:bidi="en-US"/>
          </w:rPr>
          <w:t>http://finance.liga.net/personal/2013/4/1/news/33357.htm.</w:t>
        </w:r>
      </w:hyperlink>
    </w:p>
    <w:p w:rsidR="00916841" w:rsidRDefault="00653561">
      <w:pPr>
        <w:pStyle w:val="30"/>
        <w:framePr w:w="8789" w:h="7561" w:hRule="exact" w:wrap="around" w:vAnchor="page" w:hAnchor="page" w:x="1726" w:y="1699"/>
        <w:numPr>
          <w:ilvl w:val="0"/>
          <w:numId w:val="3"/>
        </w:numPr>
        <w:shd w:val="clear" w:color="auto" w:fill="auto"/>
        <w:spacing w:before="0" w:after="0"/>
        <w:ind w:left="400" w:right="20" w:hanging="380"/>
      </w:pPr>
      <w:r>
        <w:t xml:space="preserve"> Сайт новин </w:t>
      </w:r>
      <w:r>
        <w:rPr>
          <w:lang w:val="en-US" w:eastAsia="en-US" w:bidi="en-US"/>
        </w:rPr>
        <w:t xml:space="preserve">Finance.ua. </w:t>
      </w:r>
      <w:r>
        <w:t>Дорогі гроші. Дефіцит гривні перетворив її на найдоро</w:t>
      </w:r>
      <w:r>
        <w:t xml:space="preserve">жчу валюту планети [Електронний ресурс]. - Режим доступу : </w:t>
      </w:r>
      <w:hyperlink r:id="rId23" w:history="1">
        <w:r>
          <w:rPr>
            <w:rStyle w:val="a3"/>
            <w:lang w:val="en-US" w:eastAsia="en-US" w:bidi="en-US"/>
          </w:rPr>
          <w:t>http://news.finance.ua/ua/toplist/~/2/4/</w:t>
        </w:r>
      </w:hyperlink>
      <w:r>
        <w:rPr>
          <w:lang w:val="en-US" w:eastAsia="en-US" w:bidi="en-US"/>
        </w:rPr>
        <w:t xml:space="preserve"> 288512.</w:t>
      </w:r>
    </w:p>
    <w:p w:rsidR="00916841" w:rsidRDefault="00653561">
      <w:pPr>
        <w:pStyle w:val="30"/>
        <w:framePr w:w="8789" w:h="7561" w:hRule="exact" w:wrap="around" w:vAnchor="page" w:hAnchor="page" w:x="1726" w:y="1699"/>
        <w:numPr>
          <w:ilvl w:val="0"/>
          <w:numId w:val="3"/>
        </w:numPr>
        <w:shd w:val="clear" w:color="auto" w:fill="auto"/>
        <w:spacing w:before="0" w:after="0"/>
        <w:ind w:left="400" w:right="20" w:hanging="380"/>
      </w:pPr>
      <w:r>
        <w:t xml:space="preserve"> Закон України «Про державний бюджет України на 2013 рік» [Електронний ресурс]. - Режим досту</w:t>
      </w:r>
      <w:r>
        <w:t xml:space="preserve">пу: </w:t>
      </w:r>
      <w:hyperlink r:id="rId24" w:history="1">
        <w:r>
          <w:rPr>
            <w:rStyle w:val="a3"/>
            <w:lang w:val="en-US" w:eastAsia="en-US" w:bidi="en-US"/>
          </w:rPr>
          <w:t>http://zakon4.rada.gov. ua/laws/show/5515-17.</w:t>
        </w:r>
      </w:hyperlink>
    </w:p>
    <w:p w:rsidR="00916841" w:rsidRDefault="00653561">
      <w:pPr>
        <w:pStyle w:val="30"/>
        <w:framePr w:w="8789" w:h="7561" w:hRule="exact" w:wrap="around" w:vAnchor="page" w:hAnchor="page" w:x="1726" w:y="1699"/>
        <w:numPr>
          <w:ilvl w:val="0"/>
          <w:numId w:val="3"/>
        </w:numPr>
        <w:shd w:val="clear" w:color="auto" w:fill="auto"/>
        <w:spacing w:before="0" w:after="0"/>
        <w:ind w:left="400" w:right="20" w:hanging="380"/>
      </w:pPr>
      <w:r>
        <w:t xml:space="preserve"> Міністерство фінансів України [Електроннийресурс]. - Режим доступу: </w:t>
      </w:r>
      <w:r>
        <w:rPr>
          <w:lang w:val="en-US" w:eastAsia="en-US" w:bidi="en-US"/>
        </w:rPr>
        <w:t>http://www.minfin.gov. ua/control/uk/publish/archive/main?cat_id=34952.</w:t>
      </w:r>
    </w:p>
    <w:p w:rsidR="00916841" w:rsidRDefault="00653561">
      <w:pPr>
        <w:pStyle w:val="30"/>
        <w:framePr w:w="8789" w:h="7561" w:hRule="exact" w:wrap="around" w:vAnchor="page" w:hAnchor="page" w:x="1726" w:y="1699"/>
        <w:numPr>
          <w:ilvl w:val="0"/>
          <w:numId w:val="3"/>
        </w:numPr>
        <w:shd w:val="clear" w:color="auto" w:fill="auto"/>
        <w:spacing w:before="0" w:after="0"/>
        <w:ind w:left="400" w:right="20" w:hanging="380"/>
      </w:pPr>
      <w:r>
        <w:t xml:space="preserve"> Поста</w:t>
      </w:r>
      <w:r>
        <w:t xml:space="preserve">нова правління НБУ «Про встановлення розміру обов’язкового продажу надходжень в іноземній валюті» від 16.11.2012, № 479 [Електронний ресурс]. - Режим доступу: </w:t>
      </w:r>
      <w:r>
        <w:rPr>
          <w:lang w:val="en-US" w:eastAsia="en-US" w:bidi="en-US"/>
        </w:rPr>
        <w:t>http:// zakon4.rada.gov.ua/laws/show/v0479500-12.</w:t>
      </w:r>
    </w:p>
    <w:p w:rsidR="00916841" w:rsidRDefault="00653561">
      <w:pPr>
        <w:pStyle w:val="30"/>
        <w:framePr w:w="8789" w:h="7561" w:hRule="exact" w:wrap="around" w:vAnchor="page" w:hAnchor="page" w:x="1726" w:y="1699"/>
        <w:numPr>
          <w:ilvl w:val="0"/>
          <w:numId w:val="3"/>
        </w:numPr>
        <w:shd w:val="clear" w:color="auto" w:fill="auto"/>
        <w:spacing w:before="0" w:after="0"/>
        <w:ind w:left="400" w:right="20" w:hanging="380"/>
      </w:pPr>
      <w:r>
        <w:t xml:space="preserve"> Проект Закону про внесення змін до деяких Зако</w:t>
      </w:r>
      <w:r>
        <w:t>нів України щодо операцій</w:t>
      </w:r>
      <w:r>
        <w:rPr>
          <w:rStyle w:val="3David12pt0pt"/>
        </w:rPr>
        <w:t xml:space="preserve"> </w:t>
      </w:r>
      <w:r>
        <w:rPr>
          <w:rStyle w:val="385pt0pt"/>
        </w:rPr>
        <w:t xml:space="preserve">з </w:t>
      </w:r>
      <w:r>
        <w:t xml:space="preserve">іноземною валютою [Електронний ресурс]. - Режим доступу : </w:t>
      </w:r>
      <w:hyperlink r:id="rId25" w:history="1">
        <w:r>
          <w:rPr>
            <w:rStyle w:val="a3"/>
            <w:lang w:val="en-US" w:eastAsia="en-US" w:bidi="en-US"/>
          </w:rPr>
          <w:t>http://w1.c1.rada.gov.ua/pls/zweb2/</w:t>
        </w:r>
      </w:hyperlink>
      <w:r>
        <w:rPr>
          <w:lang w:val="en-US" w:eastAsia="en-US" w:bidi="en-US"/>
        </w:rPr>
        <w:t xml:space="preserve"> webproc4_1?pf351</w:t>
      </w:r>
      <w:r>
        <w:t>1=44834.</w:t>
      </w:r>
    </w:p>
    <w:p w:rsidR="00916841" w:rsidRDefault="00653561">
      <w:pPr>
        <w:pStyle w:val="24"/>
        <w:framePr w:wrap="around" w:vAnchor="page" w:hAnchor="page" w:x="1395" w:y="15546"/>
        <w:shd w:val="clear" w:color="auto" w:fill="auto"/>
        <w:spacing w:line="130" w:lineRule="exact"/>
        <w:ind w:left="20"/>
      </w:pPr>
      <w:r>
        <w:t>Наука молода № 19, 2013 р.</w:t>
      </w:r>
    </w:p>
    <w:p w:rsidR="00916841" w:rsidRDefault="00653561">
      <w:pPr>
        <w:pStyle w:val="a5"/>
        <w:framePr w:wrap="around" w:vAnchor="page" w:hAnchor="page" w:x="10270" w:y="15568"/>
        <w:shd w:val="clear" w:color="auto" w:fill="auto"/>
        <w:spacing w:line="170" w:lineRule="exact"/>
        <w:ind w:left="20"/>
      </w:pPr>
      <w:r>
        <w:t>99</w:t>
      </w:r>
    </w:p>
    <w:p w:rsidR="00916841" w:rsidRDefault="00916841">
      <w:pPr>
        <w:rPr>
          <w:sz w:val="2"/>
          <w:szCs w:val="2"/>
        </w:rPr>
      </w:pPr>
    </w:p>
    <w:sectPr w:rsidR="00916841" w:rsidSect="00916841">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561" w:rsidRDefault="00653561" w:rsidP="00916841">
      <w:r>
        <w:separator/>
      </w:r>
    </w:p>
  </w:endnote>
  <w:endnote w:type="continuationSeparator" w:id="1">
    <w:p w:rsidR="00653561" w:rsidRDefault="00653561" w:rsidP="0091684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561" w:rsidRDefault="00653561"/>
  </w:footnote>
  <w:footnote w:type="continuationSeparator" w:id="1">
    <w:p w:rsidR="00653561" w:rsidRDefault="0065356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32BF"/>
    <w:multiLevelType w:val="multilevel"/>
    <w:tmpl w:val="0166F69A"/>
    <w:lvl w:ilvl="0">
      <w:start w:val="1"/>
      <w:numFmt w:val="decimal"/>
      <w:lvlText w:val="%1."/>
      <w:lvlJc w:val="left"/>
      <w:rPr>
        <w:rFonts w:ascii="Arial" w:eastAsia="Arial" w:hAnsi="Arial" w:cs="Arial"/>
        <w:b w:val="0"/>
        <w:bCs w:val="0"/>
        <w:i/>
        <w:iCs/>
        <w:smallCaps w:val="0"/>
        <w:strike w:val="0"/>
        <w:color w:val="000000"/>
        <w:spacing w:val="-2"/>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87B0C"/>
    <w:multiLevelType w:val="multilevel"/>
    <w:tmpl w:val="7B166932"/>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1647F"/>
    <w:multiLevelType w:val="multilevel"/>
    <w:tmpl w:val="FB548D6C"/>
    <w:lvl w:ilvl="0">
      <w:start w:val="1"/>
      <w:numFmt w:val="bullet"/>
      <w:lvlText w:val="-"/>
      <w:lvlJc w:val="left"/>
      <w:rPr>
        <w:rFonts w:ascii="Arial" w:eastAsia="Arial" w:hAnsi="Arial" w:cs="Arial"/>
        <w:b w:val="0"/>
        <w:bCs w:val="0"/>
        <w:i w:val="0"/>
        <w:iCs w:val="0"/>
        <w:smallCaps w:val="0"/>
        <w:strike w:val="0"/>
        <w:color w:val="000000"/>
        <w:spacing w:val="2"/>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16841"/>
    <w:rsid w:val="00653561"/>
    <w:rsid w:val="00916841"/>
    <w:rsid w:val="00CC42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1"/>
        <o:r id="V:Rule2" type="connector" idref="#_x0000_s1040"/>
        <o:r id="V:Rule3" type="connector" idref="#_x0000_s1039"/>
        <o:r id="V:Rule4" type="connector" idref="#_x0000_s1038"/>
        <o:r id="V:Rule5" type="connector" idref="#_x0000_s1037"/>
        <o:r id="V:Rule6" type="connector" idref="#_x0000_s1036"/>
        <o:r id="V:Rule7" type="connector" idref="#_x0000_s1035"/>
        <o:r id="V:Rule8" type="connector" idref="#_x0000_s1034"/>
        <o:r id="V:Rule9" type="connector" idref="#_x0000_s1033"/>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684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16841"/>
    <w:rPr>
      <w:color w:val="0066CC"/>
      <w:u w:val="single"/>
    </w:rPr>
  </w:style>
  <w:style w:type="character" w:customStyle="1" w:styleId="a4">
    <w:name w:val="Колонтитул_"/>
    <w:basedOn w:val="a0"/>
    <w:link w:val="a5"/>
    <w:rsid w:val="00916841"/>
    <w:rPr>
      <w:rFonts w:ascii="Arial" w:eastAsia="Arial" w:hAnsi="Arial" w:cs="Arial"/>
      <w:b/>
      <w:bCs/>
      <w:i w:val="0"/>
      <w:iCs w:val="0"/>
      <w:smallCaps w:val="0"/>
      <w:strike w:val="0"/>
      <w:spacing w:val="3"/>
      <w:sz w:val="17"/>
      <w:szCs w:val="17"/>
      <w:u w:val="none"/>
    </w:rPr>
  </w:style>
  <w:style w:type="character" w:customStyle="1" w:styleId="1">
    <w:name w:val="Заголовок №1_"/>
    <w:basedOn w:val="a0"/>
    <w:link w:val="10"/>
    <w:rsid w:val="00916841"/>
    <w:rPr>
      <w:rFonts w:ascii="Arial" w:eastAsia="Arial" w:hAnsi="Arial" w:cs="Arial"/>
      <w:b/>
      <w:bCs/>
      <w:i w:val="0"/>
      <w:iCs w:val="0"/>
      <w:smallCaps w:val="0"/>
      <w:strike w:val="0"/>
      <w:spacing w:val="5"/>
      <w:sz w:val="32"/>
      <w:szCs w:val="32"/>
      <w:u w:val="none"/>
    </w:rPr>
  </w:style>
  <w:style w:type="character" w:customStyle="1" w:styleId="2">
    <w:name w:val="Основний текст (2)_"/>
    <w:basedOn w:val="a0"/>
    <w:link w:val="20"/>
    <w:rsid w:val="00916841"/>
    <w:rPr>
      <w:rFonts w:ascii="Arial" w:eastAsia="Arial" w:hAnsi="Arial" w:cs="Arial"/>
      <w:b/>
      <w:bCs/>
      <w:i/>
      <w:iCs/>
      <w:smallCaps w:val="0"/>
      <w:strike w:val="0"/>
      <w:spacing w:val="1"/>
      <w:sz w:val="17"/>
      <w:szCs w:val="17"/>
      <w:u w:val="none"/>
    </w:rPr>
  </w:style>
  <w:style w:type="character" w:customStyle="1" w:styleId="21">
    <w:name w:val="Заголовок №2_"/>
    <w:basedOn w:val="a0"/>
    <w:link w:val="22"/>
    <w:rsid w:val="00916841"/>
    <w:rPr>
      <w:rFonts w:ascii="Sylfaen" w:eastAsia="Sylfaen" w:hAnsi="Sylfaen" w:cs="Sylfaen"/>
      <w:b w:val="0"/>
      <w:bCs w:val="0"/>
      <w:i w:val="0"/>
      <w:iCs w:val="0"/>
      <w:smallCaps w:val="0"/>
      <w:strike w:val="0"/>
      <w:sz w:val="21"/>
      <w:szCs w:val="21"/>
      <w:u w:val="none"/>
    </w:rPr>
  </w:style>
  <w:style w:type="character" w:customStyle="1" w:styleId="3">
    <w:name w:val="Основний текст (3)_"/>
    <w:basedOn w:val="a0"/>
    <w:link w:val="30"/>
    <w:rsid w:val="00916841"/>
    <w:rPr>
      <w:rFonts w:ascii="Arial" w:eastAsia="Arial" w:hAnsi="Arial" w:cs="Arial"/>
      <w:b w:val="0"/>
      <w:bCs w:val="0"/>
      <w:i/>
      <w:iCs/>
      <w:smallCaps w:val="0"/>
      <w:strike w:val="0"/>
      <w:spacing w:val="-2"/>
      <w:sz w:val="19"/>
      <w:szCs w:val="19"/>
      <w:u w:val="none"/>
    </w:rPr>
  </w:style>
  <w:style w:type="character" w:customStyle="1" w:styleId="3David12pt0pt">
    <w:name w:val="Основний текст (3) + David;12 pt;Не курсив;Інтервал 0 pt"/>
    <w:basedOn w:val="3"/>
    <w:rsid w:val="00916841"/>
    <w:rPr>
      <w:rFonts w:ascii="David" w:eastAsia="David" w:hAnsi="David" w:cs="David"/>
      <w:i/>
      <w:iCs/>
      <w:color w:val="000000"/>
      <w:spacing w:val="0"/>
      <w:w w:val="100"/>
      <w:position w:val="0"/>
      <w:sz w:val="24"/>
      <w:szCs w:val="24"/>
      <w:lang w:val="uk-UA" w:eastAsia="uk-UA" w:bidi="uk-UA"/>
    </w:rPr>
  </w:style>
  <w:style w:type="character" w:customStyle="1" w:styleId="385pt0pt">
    <w:name w:val="Основний текст (3) + 8;5 pt;Не курсив;Інтервал 0 pt"/>
    <w:basedOn w:val="3"/>
    <w:rsid w:val="00916841"/>
    <w:rPr>
      <w:i/>
      <w:iCs/>
      <w:color w:val="000000"/>
      <w:spacing w:val="2"/>
      <w:w w:val="100"/>
      <w:position w:val="0"/>
      <w:sz w:val="17"/>
      <w:szCs w:val="17"/>
      <w:lang w:val="uk-UA" w:eastAsia="uk-UA" w:bidi="uk-UA"/>
    </w:rPr>
  </w:style>
  <w:style w:type="character" w:customStyle="1" w:styleId="a6">
    <w:name w:val="Основний текст_"/>
    <w:basedOn w:val="a0"/>
    <w:link w:val="a7"/>
    <w:rsid w:val="00916841"/>
    <w:rPr>
      <w:rFonts w:ascii="Arial" w:eastAsia="Arial" w:hAnsi="Arial" w:cs="Arial"/>
      <w:b w:val="0"/>
      <w:bCs w:val="0"/>
      <w:i w:val="0"/>
      <w:iCs w:val="0"/>
      <w:smallCaps w:val="0"/>
      <w:strike w:val="0"/>
      <w:spacing w:val="2"/>
      <w:sz w:val="17"/>
      <w:szCs w:val="17"/>
      <w:u w:val="none"/>
    </w:rPr>
  </w:style>
  <w:style w:type="character" w:customStyle="1" w:styleId="4">
    <w:name w:val="Основний текст (4)_"/>
    <w:basedOn w:val="a0"/>
    <w:link w:val="40"/>
    <w:rsid w:val="00916841"/>
    <w:rPr>
      <w:rFonts w:ascii="Sylfaen" w:eastAsia="Sylfaen" w:hAnsi="Sylfaen" w:cs="Sylfaen"/>
      <w:b w:val="0"/>
      <w:bCs w:val="0"/>
      <w:i w:val="0"/>
      <w:iCs w:val="0"/>
      <w:smallCaps w:val="0"/>
      <w:strike w:val="0"/>
      <w:spacing w:val="1"/>
      <w:sz w:val="14"/>
      <w:szCs w:val="14"/>
      <w:u w:val="none"/>
    </w:rPr>
  </w:style>
  <w:style w:type="character" w:customStyle="1" w:styleId="23">
    <w:name w:val="Колонтитул (2)_"/>
    <w:basedOn w:val="a0"/>
    <w:link w:val="24"/>
    <w:rsid w:val="00916841"/>
    <w:rPr>
      <w:rFonts w:ascii="Arial" w:eastAsia="Arial" w:hAnsi="Arial" w:cs="Arial"/>
      <w:b w:val="0"/>
      <w:bCs w:val="0"/>
      <w:i w:val="0"/>
      <w:iCs w:val="0"/>
      <w:smallCaps w:val="0"/>
      <w:strike w:val="0"/>
      <w:spacing w:val="3"/>
      <w:sz w:val="13"/>
      <w:szCs w:val="13"/>
      <w:u w:val="none"/>
    </w:rPr>
  </w:style>
  <w:style w:type="character" w:customStyle="1" w:styleId="31">
    <w:name w:val="Колонтитул (3)_"/>
    <w:basedOn w:val="a0"/>
    <w:link w:val="32"/>
    <w:rsid w:val="00916841"/>
    <w:rPr>
      <w:rFonts w:ascii="Sylfaen" w:eastAsia="Sylfaen" w:hAnsi="Sylfaen" w:cs="Sylfaen"/>
      <w:b w:val="0"/>
      <w:bCs w:val="0"/>
      <w:i w:val="0"/>
      <w:iCs w:val="0"/>
      <w:smallCaps w:val="0"/>
      <w:strike w:val="0"/>
      <w:spacing w:val="2"/>
      <w:sz w:val="15"/>
      <w:szCs w:val="15"/>
      <w:u w:val="none"/>
    </w:rPr>
  </w:style>
  <w:style w:type="character" w:customStyle="1" w:styleId="25">
    <w:name w:val="Підпис до зображення (2)_"/>
    <w:basedOn w:val="a0"/>
    <w:link w:val="26"/>
    <w:rsid w:val="00916841"/>
    <w:rPr>
      <w:rFonts w:ascii="Arial" w:eastAsia="Arial" w:hAnsi="Arial" w:cs="Arial"/>
      <w:b/>
      <w:bCs/>
      <w:i/>
      <w:iCs/>
      <w:smallCaps w:val="0"/>
      <w:strike w:val="0"/>
      <w:spacing w:val="1"/>
      <w:sz w:val="17"/>
      <w:szCs w:val="17"/>
      <w:u w:val="none"/>
    </w:rPr>
  </w:style>
  <w:style w:type="character" w:customStyle="1" w:styleId="20pt">
    <w:name w:val="Підпис до зображення (2) + Не напівжирний;Не курсив;Інтервал 0 pt"/>
    <w:basedOn w:val="25"/>
    <w:rsid w:val="00916841"/>
    <w:rPr>
      <w:b/>
      <w:bCs/>
      <w:i/>
      <w:iCs/>
      <w:color w:val="000000"/>
      <w:spacing w:val="2"/>
      <w:w w:val="100"/>
      <w:position w:val="0"/>
      <w:lang w:val="uk-UA" w:eastAsia="uk-UA" w:bidi="uk-UA"/>
    </w:rPr>
  </w:style>
  <w:style w:type="character" w:customStyle="1" w:styleId="Sylfaen7pt0pt">
    <w:name w:val="Основний текст + Sylfaen;7 pt;Інтервал 0 pt"/>
    <w:basedOn w:val="a6"/>
    <w:rsid w:val="00916841"/>
    <w:rPr>
      <w:rFonts w:ascii="Sylfaen" w:eastAsia="Sylfaen" w:hAnsi="Sylfaen" w:cs="Sylfaen"/>
      <w:color w:val="000000"/>
      <w:spacing w:val="7"/>
      <w:w w:val="100"/>
      <w:position w:val="0"/>
      <w:sz w:val="14"/>
      <w:szCs w:val="14"/>
      <w:lang w:val="uk-UA" w:eastAsia="uk-UA" w:bidi="uk-UA"/>
    </w:rPr>
  </w:style>
  <w:style w:type="character" w:customStyle="1" w:styleId="33">
    <w:name w:val="Підпис до зображення (3)_"/>
    <w:basedOn w:val="a0"/>
    <w:link w:val="34"/>
    <w:rsid w:val="00916841"/>
    <w:rPr>
      <w:rFonts w:ascii="Sylfaen" w:eastAsia="Sylfaen" w:hAnsi="Sylfaen" w:cs="Sylfaen"/>
      <w:b w:val="0"/>
      <w:bCs w:val="0"/>
      <w:i w:val="0"/>
      <w:iCs w:val="0"/>
      <w:smallCaps w:val="0"/>
      <w:strike w:val="0"/>
      <w:spacing w:val="7"/>
      <w:sz w:val="14"/>
      <w:szCs w:val="14"/>
      <w:u w:val="none"/>
    </w:rPr>
  </w:style>
  <w:style w:type="character" w:customStyle="1" w:styleId="355pt0pt">
    <w:name w:val="Підпис до зображення (3) + 5;5 pt;Інтервал 0 pt"/>
    <w:basedOn w:val="33"/>
    <w:rsid w:val="00916841"/>
    <w:rPr>
      <w:color w:val="000000"/>
      <w:spacing w:val="5"/>
      <w:w w:val="100"/>
      <w:position w:val="0"/>
      <w:sz w:val="11"/>
      <w:szCs w:val="11"/>
      <w:lang w:val="uk-UA" w:eastAsia="uk-UA" w:bidi="uk-UA"/>
    </w:rPr>
  </w:style>
  <w:style w:type="character" w:customStyle="1" w:styleId="5">
    <w:name w:val="Основний текст (5)_"/>
    <w:basedOn w:val="a0"/>
    <w:link w:val="50"/>
    <w:rsid w:val="00916841"/>
    <w:rPr>
      <w:rFonts w:ascii="Sylfaen" w:eastAsia="Sylfaen" w:hAnsi="Sylfaen" w:cs="Sylfaen"/>
      <w:b w:val="0"/>
      <w:bCs w:val="0"/>
      <w:i w:val="0"/>
      <w:iCs w:val="0"/>
      <w:smallCaps w:val="0"/>
      <w:strike w:val="0"/>
      <w:spacing w:val="7"/>
      <w:sz w:val="14"/>
      <w:szCs w:val="14"/>
      <w:u w:val="none"/>
    </w:rPr>
  </w:style>
  <w:style w:type="character" w:customStyle="1" w:styleId="20pt0">
    <w:name w:val="Основний текст (2) + Не напівжирний;Не курсив;Інтервал 0 pt"/>
    <w:basedOn w:val="2"/>
    <w:rsid w:val="00916841"/>
    <w:rPr>
      <w:b/>
      <w:bCs/>
      <w:i/>
      <w:iCs/>
      <w:color w:val="000000"/>
      <w:spacing w:val="2"/>
      <w:w w:val="100"/>
      <w:position w:val="0"/>
      <w:lang w:val="uk-UA" w:eastAsia="uk-UA" w:bidi="uk-UA"/>
    </w:rPr>
  </w:style>
  <w:style w:type="character" w:customStyle="1" w:styleId="a8">
    <w:name w:val="Підпис до таблиці_"/>
    <w:basedOn w:val="a0"/>
    <w:link w:val="a9"/>
    <w:rsid w:val="00916841"/>
    <w:rPr>
      <w:rFonts w:ascii="Arial" w:eastAsia="Arial" w:hAnsi="Arial" w:cs="Arial"/>
      <w:b w:val="0"/>
      <w:bCs w:val="0"/>
      <w:i/>
      <w:iCs/>
      <w:smallCaps w:val="0"/>
      <w:strike w:val="0"/>
      <w:spacing w:val="-2"/>
      <w:sz w:val="19"/>
      <w:szCs w:val="19"/>
      <w:u w:val="none"/>
    </w:rPr>
  </w:style>
  <w:style w:type="character" w:customStyle="1" w:styleId="75pt">
    <w:name w:val="Основний текст + 7;5 pt;Напівжирний"/>
    <w:basedOn w:val="a6"/>
    <w:rsid w:val="00916841"/>
    <w:rPr>
      <w:b/>
      <w:bCs/>
      <w:color w:val="000000"/>
      <w:w w:val="100"/>
      <w:position w:val="0"/>
      <w:sz w:val="15"/>
      <w:szCs w:val="15"/>
      <w:lang w:val="uk-UA" w:eastAsia="uk-UA" w:bidi="uk-UA"/>
    </w:rPr>
  </w:style>
  <w:style w:type="character" w:customStyle="1" w:styleId="75pt0pt">
    <w:name w:val="Основний текст + 7;5 pt;Інтервал 0 pt"/>
    <w:basedOn w:val="a6"/>
    <w:rsid w:val="00916841"/>
    <w:rPr>
      <w:color w:val="000000"/>
      <w:spacing w:val="5"/>
      <w:w w:val="100"/>
      <w:position w:val="0"/>
      <w:sz w:val="15"/>
      <w:szCs w:val="15"/>
      <w:lang w:val="uk-UA" w:eastAsia="uk-UA" w:bidi="uk-UA"/>
    </w:rPr>
  </w:style>
  <w:style w:type="character" w:customStyle="1" w:styleId="Sylfaen8pt0pt">
    <w:name w:val="Основний текст + Sylfaen;8 pt;Інтервал 0 pt"/>
    <w:basedOn w:val="a6"/>
    <w:rsid w:val="00916841"/>
    <w:rPr>
      <w:rFonts w:ascii="Sylfaen" w:eastAsia="Sylfaen" w:hAnsi="Sylfaen" w:cs="Sylfaen"/>
      <w:color w:val="000000"/>
      <w:spacing w:val="7"/>
      <w:w w:val="100"/>
      <w:position w:val="0"/>
      <w:sz w:val="16"/>
      <w:szCs w:val="16"/>
      <w:lang w:val="uk-UA" w:eastAsia="uk-UA" w:bidi="uk-UA"/>
    </w:rPr>
  </w:style>
  <w:style w:type="character" w:customStyle="1" w:styleId="27">
    <w:name w:val="Підпис до таблиці (2)_"/>
    <w:basedOn w:val="a0"/>
    <w:link w:val="28"/>
    <w:rsid w:val="00916841"/>
    <w:rPr>
      <w:rFonts w:ascii="Sylfaen" w:eastAsia="Sylfaen" w:hAnsi="Sylfaen" w:cs="Sylfaen"/>
      <w:b w:val="0"/>
      <w:bCs w:val="0"/>
      <w:i w:val="0"/>
      <w:iCs w:val="0"/>
      <w:smallCaps w:val="0"/>
      <w:strike w:val="0"/>
      <w:spacing w:val="7"/>
      <w:sz w:val="16"/>
      <w:szCs w:val="16"/>
      <w:u w:val="none"/>
    </w:rPr>
  </w:style>
  <w:style w:type="character" w:customStyle="1" w:styleId="6">
    <w:name w:val="Основний текст (6)_"/>
    <w:basedOn w:val="a0"/>
    <w:link w:val="60"/>
    <w:rsid w:val="00916841"/>
    <w:rPr>
      <w:rFonts w:ascii="Garamond" w:eastAsia="Garamond" w:hAnsi="Garamond" w:cs="Garamond"/>
      <w:b w:val="0"/>
      <w:bCs w:val="0"/>
      <w:i/>
      <w:iCs/>
      <w:smallCaps w:val="0"/>
      <w:strike w:val="0"/>
      <w:sz w:val="20"/>
      <w:szCs w:val="20"/>
      <w:u w:val="none"/>
    </w:rPr>
  </w:style>
  <w:style w:type="character" w:customStyle="1" w:styleId="9">
    <w:name w:val="Основний текст (9)_"/>
    <w:basedOn w:val="a0"/>
    <w:link w:val="90"/>
    <w:rsid w:val="00916841"/>
    <w:rPr>
      <w:rFonts w:ascii="Sylfaen" w:eastAsia="Sylfaen" w:hAnsi="Sylfaen" w:cs="Sylfaen"/>
      <w:b w:val="0"/>
      <w:bCs w:val="0"/>
      <w:i w:val="0"/>
      <w:iCs w:val="0"/>
      <w:smallCaps w:val="0"/>
      <w:strike w:val="0"/>
      <w:spacing w:val="7"/>
      <w:sz w:val="16"/>
      <w:szCs w:val="16"/>
      <w:u w:val="none"/>
    </w:rPr>
  </w:style>
  <w:style w:type="character" w:customStyle="1" w:styleId="7">
    <w:name w:val="Основний текст (7)_"/>
    <w:basedOn w:val="a0"/>
    <w:link w:val="70"/>
    <w:rsid w:val="00916841"/>
    <w:rPr>
      <w:rFonts w:ascii="Arial" w:eastAsia="Arial" w:hAnsi="Arial" w:cs="Arial"/>
      <w:b w:val="0"/>
      <w:bCs w:val="0"/>
      <w:i/>
      <w:iCs/>
      <w:smallCaps w:val="0"/>
      <w:strike w:val="0"/>
      <w:sz w:val="20"/>
      <w:szCs w:val="20"/>
      <w:u w:val="none"/>
    </w:rPr>
  </w:style>
  <w:style w:type="character" w:customStyle="1" w:styleId="100">
    <w:name w:val="Основний текст (10)_"/>
    <w:basedOn w:val="a0"/>
    <w:link w:val="101"/>
    <w:rsid w:val="00916841"/>
    <w:rPr>
      <w:rFonts w:ascii="Arial" w:eastAsia="Arial" w:hAnsi="Arial" w:cs="Arial"/>
      <w:b w:val="0"/>
      <w:bCs w:val="0"/>
      <w:i/>
      <w:iCs/>
      <w:smallCaps w:val="0"/>
      <w:strike w:val="0"/>
      <w:spacing w:val="8"/>
      <w:sz w:val="14"/>
      <w:szCs w:val="14"/>
      <w:u w:val="none"/>
    </w:rPr>
  </w:style>
  <w:style w:type="character" w:customStyle="1" w:styleId="8">
    <w:name w:val="Основний текст (8)_"/>
    <w:basedOn w:val="a0"/>
    <w:link w:val="80"/>
    <w:rsid w:val="00916841"/>
    <w:rPr>
      <w:rFonts w:ascii="Segoe UI" w:eastAsia="Segoe UI" w:hAnsi="Segoe UI" w:cs="Segoe UI"/>
      <w:b/>
      <w:bCs/>
      <w:i w:val="0"/>
      <w:iCs w:val="0"/>
      <w:smallCaps w:val="0"/>
      <w:strike w:val="0"/>
      <w:spacing w:val="-72"/>
      <w:sz w:val="80"/>
      <w:szCs w:val="80"/>
      <w:u w:val="none"/>
      <w:lang w:val="en-US" w:eastAsia="en-US" w:bidi="en-US"/>
    </w:rPr>
  </w:style>
  <w:style w:type="character" w:customStyle="1" w:styleId="11">
    <w:name w:val="Основний текст (11)_"/>
    <w:basedOn w:val="a0"/>
    <w:link w:val="110"/>
    <w:rsid w:val="00916841"/>
    <w:rPr>
      <w:rFonts w:ascii="Sylfaen" w:eastAsia="Sylfaen" w:hAnsi="Sylfaen" w:cs="Sylfaen"/>
      <w:b w:val="0"/>
      <w:bCs w:val="0"/>
      <w:i w:val="0"/>
      <w:iCs w:val="0"/>
      <w:smallCaps w:val="0"/>
      <w:strike w:val="0"/>
      <w:sz w:val="16"/>
      <w:szCs w:val="16"/>
      <w:u w:val="none"/>
    </w:rPr>
  </w:style>
  <w:style w:type="character" w:customStyle="1" w:styleId="aa">
    <w:name w:val="Основний текст"/>
    <w:basedOn w:val="a6"/>
    <w:rsid w:val="00916841"/>
    <w:rPr>
      <w:color w:val="000000"/>
      <w:w w:val="100"/>
      <w:position w:val="0"/>
      <w:lang w:val="uk-UA" w:eastAsia="uk-UA" w:bidi="uk-UA"/>
    </w:rPr>
  </w:style>
  <w:style w:type="character" w:customStyle="1" w:styleId="41">
    <w:name w:val="Підпис до зображення (4)_"/>
    <w:basedOn w:val="a0"/>
    <w:link w:val="42"/>
    <w:rsid w:val="00916841"/>
    <w:rPr>
      <w:rFonts w:ascii="Arial" w:eastAsia="Arial" w:hAnsi="Arial" w:cs="Arial"/>
      <w:b w:val="0"/>
      <w:bCs w:val="0"/>
      <w:i w:val="0"/>
      <w:iCs w:val="0"/>
      <w:smallCaps w:val="0"/>
      <w:strike w:val="0"/>
      <w:spacing w:val="2"/>
      <w:w w:val="33"/>
      <w:sz w:val="8"/>
      <w:szCs w:val="8"/>
      <w:u w:val="none"/>
    </w:rPr>
  </w:style>
  <w:style w:type="character" w:customStyle="1" w:styleId="51">
    <w:name w:val="Підпис до зображення (5)_"/>
    <w:basedOn w:val="a0"/>
    <w:link w:val="52"/>
    <w:rsid w:val="00916841"/>
    <w:rPr>
      <w:rFonts w:ascii="Garamond" w:eastAsia="Garamond" w:hAnsi="Garamond" w:cs="Garamond"/>
      <w:b w:val="0"/>
      <w:bCs w:val="0"/>
      <w:i w:val="0"/>
      <w:iCs w:val="0"/>
      <w:smallCaps w:val="0"/>
      <w:strike w:val="0"/>
      <w:sz w:val="19"/>
      <w:szCs w:val="19"/>
      <w:u w:val="none"/>
    </w:rPr>
  </w:style>
  <w:style w:type="character" w:customStyle="1" w:styleId="61">
    <w:name w:val="Підпис до зображення (6)_"/>
    <w:basedOn w:val="a0"/>
    <w:link w:val="62"/>
    <w:rsid w:val="00916841"/>
    <w:rPr>
      <w:rFonts w:ascii="Arial" w:eastAsia="Arial" w:hAnsi="Arial" w:cs="Arial"/>
      <w:b w:val="0"/>
      <w:bCs w:val="0"/>
      <w:i w:val="0"/>
      <w:iCs w:val="0"/>
      <w:smallCaps w:val="0"/>
      <w:strike w:val="0"/>
      <w:spacing w:val="-11"/>
      <w:sz w:val="10"/>
      <w:szCs w:val="10"/>
      <w:u w:val="none"/>
    </w:rPr>
  </w:style>
  <w:style w:type="character" w:customStyle="1" w:styleId="ab">
    <w:name w:val="Підпис до зображення_"/>
    <w:basedOn w:val="a0"/>
    <w:link w:val="ac"/>
    <w:rsid w:val="00916841"/>
    <w:rPr>
      <w:rFonts w:ascii="Sylfaen" w:eastAsia="Sylfaen" w:hAnsi="Sylfaen" w:cs="Sylfaen"/>
      <w:b w:val="0"/>
      <w:bCs w:val="0"/>
      <w:i w:val="0"/>
      <w:iCs w:val="0"/>
      <w:smallCaps w:val="0"/>
      <w:strike w:val="0"/>
      <w:sz w:val="16"/>
      <w:szCs w:val="16"/>
      <w:u w:val="none"/>
    </w:rPr>
  </w:style>
  <w:style w:type="character" w:customStyle="1" w:styleId="105pt">
    <w:name w:val="Підпис до зображення + 10;5 pt"/>
    <w:basedOn w:val="ab"/>
    <w:rsid w:val="00916841"/>
    <w:rPr>
      <w:color w:val="000000"/>
      <w:spacing w:val="0"/>
      <w:w w:val="100"/>
      <w:position w:val="0"/>
      <w:sz w:val="21"/>
      <w:szCs w:val="21"/>
      <w:lang w:val="uk-UA" w:eastAsia="uk-UA" w:bidi="uk-UA"/>
    </w:rPr>
  </w:style>
  <w:style w:type="character" w:customStyle="1" w:styleId="220">
    <w:name w:val="Заголовок №2 (2)_"/>
    <w:basedOn w:val="a0"/>
    <w:link w:val="221"/>
    <w:rsid w:val="00916841"/>
    <w:rPr>
      <w:rFonts w:ascii="Arial" w:eastAsia="Arial" w:hAnsi="Arial" w:cs="Arial"/>
      <w:b/>
      <w:bCs/>
      <w:i/>
      <w:iCs/>
      <w:smallCaps w:val="0"/>
      <w:strike w:val="0"/>
      <w:spacing w:val="1"/>
      <w:sz w:val="17"/>
      <w:szCs w:val="17"/>
      <w:u w:val="none"/>
    </w:rPr>
  </w:style>
  <w:style w:type="paragraph" w:customStyle="1" w:styleId="a5">
    <w:name w:val="Колонтитул"/>
    <w:basedOn w:val="a"/>
    <w:link w:val="a4"/>
    <w:rsid w:val="00916841"/>
    <w:pPr>
      <w:shd w:val="clear" w:color="auto" w:fill="FFFFFF"/>
      <w:spacing w:line="0" w:lineRule="atLeast"/>
    </w:pPr>
    <w:rPr>
      <w:rFonts w:ascii="Arial" w:eastAsia="Arial" w:hAnsi="Arial" w:cs="Arial"/>
      <w:b/>
      <w:bCs/>
      <w:spacing w:val="3"/>
      <w:sz w:val="17"/>
      <w:szCs w:val="17"/>
    </w:rPr>
  </w:style>
  <w:style w:type="paragraph" w:customStyle="1" w:styleId="10">
    <w:name w:val="Заголовок №1"/>
    <w:basedOn w:val="a"/>
    <w:link w:val="1"/>
    <w:rsid w:val="00916841"/>
    <w:pPr>
      <w:shd w:val="clear" w:color="auto" w:fill="FFFFFF"/>
      <w:spacing w:after="300" w:line="432" w:lineRule="exact"/>
      <w:jc w:val="center"/>
      <w:outlineLvl w:val="0"/>
    </w:pPr>
    <w:rPr>
      <w:rFonts w:ascii="Arial" w:eastAsia="Arial" w:hAnsi="Arial" w:cs="Arial"/>
      <w:b/>
      <w:bCs/>
      <w:spacing w:val="5"/>
      <w:sz w:val="32"/>
      <w:szCs w:val="32"/>
    </w:rPr>
  </w:style>
  <w:style w:type="paragraph" w:customStyle="1" w:styleId="20">
    <w:name w:val="Основний текст (2)"/>
    <w:basedOn w:val="a"/>
    <w:link w:val="2"/>
    <w:rsid w:val="00916841"/>
    <w:pPr>
      <w:shd w:val="clear" w:color="auto" w:fill="FFFFFF"/>
      <w:spacing w:before="300" w:after="480" w:line="0" w:lineRule="atLeast"/>
      <w:jc w:val="right"/>
    </w:pPr>
    <w:rPr>
      <w:rFonts w:ascii="Arial" w:eastAsia="Arial" w:hAnsi="Arial" w:cs="Arial"/>
      <w:b/>
      <w:bCs/>
      <w:i/>
      <w:iCs/>
      <w:spacing w:val="1"/>
      <w:sz w:val="17"/>
      <w:szCs w:val="17"/>
    </w:rPr>
  </w:style>
  <w:style w:type="paragraph" w:customStyle="1" w:styleId="22">
    <w:name w:val="Заголовок №2"/>
    <w:basedOn w:val="a"/>
    <w:link w:val="21"/>
    <w:rsid w:val="00916841"/>
    <w:pPr>
      <w:shd w:val="clear" w:color="auto" w:fill="FFFFFF"/>
      <w:spacing w:before="480" w:after="300" w:line="0" w:lineRule="atLeast"/>
      <w:jc w:val="center"/>
      <w:outlineLvl w:val="1"/>
    </w:pPr>
    <w:rPr>
      <w:rFonts w:ascii="Sylfaen" w:eastAsia="Sylfaen" w:hAnsi="Sylfaen" w:cs="Sylfaen"/>
      <w:sz w:val="21"/>
      <w:szCs w:val="21"/>
    </w:rPr>
  </w:style>
  <w:style w:type="paragraph" w:customStyle="1" w:styleId="30">
    <w:name w:val="Основний текст (3)"/>
    <w:basedOn w:val="a"/>
    <w:link w:val="3"/>
    <w:rsid w:val="00916841"/>
    <w:pPr>
      <w:shd w:val="clear" w:color="auto" w:fill="FFFFFF"/>
      <w:spacing w:before="300" w:after="180" w:line="250" w:lineRule="exact"/>
      <w:ind w:hanging="500"/>
      <w:jc w:val="both"/>
    </w:pPr>
    <w:rPr>
      <w:rFonts w:ascii="Arial" w:eastAsia="Arial" w:hAnsi="Arial" w:cs="Arial"/>
      <w:i/>
      <w:iCs/>
      <w:spacing w:val="-2"/>
      <w:sz w:val="19"/>
      <w:szCs w:val="19"/>
    </w:rPr>
  </w:style>
  <w:style w:type="paragraph" w:customStyle="1" w:styleId="a7">
    <w:name w:val="Основний текст"/>
    <w:basedOn w:val="a"/>
    <w:link w:val="a6"/>
    <w:rsid w:val="00916841"/>
    <w:pPr>
      <w:shd w:val="clear" w:color="auto" w:fill="FFFFFF"/>
      <w:spacing w:before="180" w:line="250" w:lineRule="exact"/>
      <w:jc w:val="both"/>
    </w:pPr>
    <w:rPr>
      <w:rFonts w:ascii="Arial" w:eastAsia="Arial" w:hAnsi="Arial" w:cs="Arial"/>
      <w:spacing w:val="2"/>
      <w:sz w:val="17"/>
      <w:szCs w:val="17"/>
    </w:rPr>
  </w:style>
  <w:style w:type="paragraph" w:customStyle="1" w:styleId="40">
    <w:name w:val="Основний текст (4)"/>
    <w:basedOn w:val="a"/>
    <w:link w:val="4"/>
    <w:rsid w:val="00916841"/>
    <w:pPr>
      <w:shd w:val="clear" w:color="auto" w:fill="FFFFFF"/>
      <w:spacing w:before="180" w:line="0" w:lineRule="atLeast"/>
      <w:jc w:val="both"/>
    </w:pPr>
    <w:rPr>
      <w:rFonts w:ascii="Sylfaen" w:eastAsia="Sylfaen" w:hAnsi="Sylfaen" w:cs="Sylfaen"/>
      <w:spacing w:val="1"/>
      <w:sz w:val="14"/>
      <w:szCs w:val="14"/>
    </w:rPr>
  </w:style>
  <w:style w:type="paragraph" w:customStyle="1" w:styleId="24">
    <w:name w:val="Колонтитул (2)"/>
    <w:basedOn w:val="a"/>
    <w:link w:val="23"/>
    <w:rsid w:val="00916841"/>
    <w:pPr>
      <w:shd w:val="clear" w:color="auto" w:fill="FFFFFF"/>
      <w:spacing w:line="0" w:lineRule="atLeast"/>
    </w:pPr>
    <w:rPr>
      <w:rFonts w:ascii="Arial" w:eastAsia="Arial" w:hAnsi="Arial" w:cs="Arial"/>
      <w:spacing w:val="3"/>
      <w:sz w:val="13"/>
      <w:szCs w:val="13"/>
    </w:rPr>
  </w:style>
  <w:style w:type="paragraph" w:customStyle="1" w:styleId="32">
    <w:name w:val="Колонтитул (3)"/>
    <w:basedOn w:val="a"/>
    <w:link w:val="31"/>
    <w:rsid w:val="00916841"/>
    <w:pPr>
      <w:shd w:val="clear" w:color="auto" w:fill="FFFFFF"/>
      <w:spacing w:after="60" w:line="0" w:lineRule="atLeast"/>
    </w:pPr>
    <w:rPr>
      <w:rFonts w:ascii="Sylfaen" w:eastAsia="Sylfaen" w:hAnsi="Sylfaen" w:cs="Sylfaen"/>
      <w:spacing w:val="2"/>
      <w:sz w:val="15"/>
      <w:szCs w:val="15"/>
    </w:rPr>
  </w:style>
  <w:style w:type="paragraph" w:customStyle="1" w:styleId="26">
    <w:name w:val="Підпис до зображення (2)"/>
    <w:basedOn w:val="a"/>
    <w:link w:val="25"/>
    <w:rsid w:val="00916841"/>
    <w:pPr>
      <w:shd w:val="clear" w:color="auto" w:fill="FFFFFF"/>
      <w:spacing w:line="0" w:lineRule="atLeast"/>
    </w:pPr>
    <w:rPr>
      <w:rFonts w:ascii="Arial" w:eastAsia="Arial" w:hAnsi="Arial" w:cs="Arial"/>
      <w:b/>
      <w:bCs/>
      <w:i/>
      <w:iCs/>
      <w:spacing w:val="1"/>
      <w:sz w:val="17"/>
      <w:szCs w:val="17"/>
    </w:rPr>
  </w:style>
  <w:style w:type="paragraph" w:customStyle="1" w:styleId="34">
    <w:name w:val="Підпис до зображення (3)"/>
    <w:basedOn w:val="a"/>
    <w:link w:val="33"/>
    <w:rsid w:val="00916841"/>
    <w:pPr>
      <w:shd w:val="clear" w:color="auto" w:fill="FFFFFF"/>
      <w:spacing w:line="312" w:lineRule="exact"/>
      <w:ind w:hanging="760"/>
    </w:pPr>
    <w:rPr>
      <w:rFonts w:ascii="Sylfaen" w:eastAsia="Sylfaen" w:hAnsi="Sylfaen" w:cs="Sylfaen"/>
      <w:spacing w:val="7"/>
      <w:sz w:val="14"/>
      <w:szCs w:val="14"/>
    </w:rPr>
  </w:style>
  <w:style w:type="paragraph" w:customStyle="1" w:styleId="50">
    <w:name w:val="Основний текст (5)"/>
    <w:basedOn w:val="a"/>
    <w:link w:val="5"/>
    <w:rsid w:val="00916841"/>
    <w:pPr>
      <w:shd w:val="clear" w:color="auto" w:fill="FFFFFF"/>
      <w:spacing w:line="0" w:lineRule="atLeast"/>
      <w:jc w:val="both"/>
    </w:pPr>
    <w:rPr>
      <w:rFonts w:ascii="Sylfaen" w:eastAsia="Sylfaen" w:hAnsi="Sylfaen" w:cs="Sylfaen"/>
      <w:spacing w:val="7"/>
      <w:sz w:val="14"/>
      <w:szCs w:val="14"/>
    </w:rPr>
  </w:style>
  <w:style w:type="paragraph" w:customStyle="1" w:styleId="a9">
    <w:name w:val="Підпис до таблиці"/>
    <w:basedOn w:val="a"/>
    <w:link w:val="a8"/>
    <w:rsid w:val="00916841"/>
    <w:pPr>
      <w:shd w:val="clear" w:color="auto" w:fill="FFFFFF"/>
      <w:spacing w:line="0" w:lineRule="atLeast"/>
    </w:pPr>
    <w:rPr>
      <w:rFonts w:ascii="Arial" w:eastAsia="Arial" w:hAnsi="Arial" w:cs="Arial"/>
      <w:i/>
      <w:iCs/>
      <w:spacing w:val="-2"/>
      <w:sz w:val="19"/>
      <w:szCs w:val="19"/>
    </w:rPr>
  </w:style>
  <w:style w:type="paragraph" w:customStyle="1" w:styleId="28">
    <w:name w:val="Підпис до таблиці (2)"/>
    <w:basedOn w:val="a"/>
    <w:link w:val="27"/>
    <w:rsid w:val="00916841"/>
    <w:pPr>
      <w:shd w:val="clear" w:color="auto" w:fill="FFFFFF"/>
      <w:spacing w:line="0" w:lineRule="atLeast"/>
    </w:pPr>
    <w:rPr>
      <w:rFonts w:ascii="Sylfaen" w:eastAsia="Sylfaen" w:hAnsi="Sylfaen" w:cs="Sylfaen"/>
      <w:spacing w:val="7"/>
      <w:sz w:val="16"/>
      <w:szCs w:val="16"/>
    </w:rPr>
  </w:style>
  <w:style w:type="paragraph" w:customStyle="1" w:styleId="60">
    <w:name w:val="Основний текст (6)"/>
    <w:basedOn w:val="a"/>
    <w:link w:val="6"/>
    <w:rsid w:val="00916841"/>
    <w:pPr>
      <w:shd w:val="clear" w:color="auto" w:fill="FFFFFF"/>
      <w:spacing w:line="0" w:lineRule="atLeast"/>
    </w:pPr>
    <w:rPr>
      <w:rFonts w:ascii="Garamond" w:eastAsia="Garamond" w:hAnsi="Garamond" w:cs="Garamond"/>
      <w:i/>
      <w:iCs/>
      <w:sz w:val="20"/>
      <w:szCs w:val="20"/>
    </w:rPr>
  </w:style>
  <w:style w:type="paragraph" w:customStyle="1" w:styleId="90">
    <w:name w:val="Основний текст (9)"/>
    <w:basedOn w:val="a"/>
    <w:link w:val="9"/>
    <w:rsid w:val="00916841"/>
    <w:pPr>
      <w:shd w:val="clear" w:color="auto" w:fill="FFFFFF"/>
      <w:spacing w:line="0" w:lineRule="atLeast"/>
    </w:pPr>
    <w:rPr>
      <w:rFonts w:ascii="Sylfaen" w:eastAsia="Sylfaen" w:hAnsi="Sylfaen" w:cs="Sylfaen"/>
      <w:spacing w:val="7"/>
      <w:sz w:val="16"/>
      <w:szCs w:val="16"/>
    </w:rPr>
  </w:style>
  <w:style w:type="paragraph" w:customStyle="1" w:styleId="70">
    <w:name w:val="Основний текст (7)"/>
    <w:basedOn w:val="a"/>
    <w:link w:val="7"/>
    <w:rsid w:val="00916841"/>
    <w:pPr>
      <w:shd w:val="clear" w:color="auto" w:fill="FFFFFF"/>
      <w:spacing w:line="0" w:lineRule="atLeast"/>
    </w:pPr>
    <w:rPr>
      <w:rFonts w:ascii="Arial" w:eastAsia="Arial" w:hAnsi="Arial" w:cs="Arial"/>
      <w:i/>
      <w:iCs/>
      <w:sz w:val="20"/>
      <w:szCs w:val="20"/>
    </w:rPr>
  </w:style>
  <w:style w:type="paragraph" w:customStyle="1" w:styleId="101">
    <w:name w:val="Основний текст (10)"/>
    <w:basedOn w:val="a"/>
    <w:link w:val="100"/>
    <w:rsid w:val="00916841"/>
    <w:pPr>
      <w:shd w:val="clear" w:color="auto" w:fill="FFFFFF"/>
      <w:spacing w:line="0" w:lineRule="atLeast"/>
    </w:pPr>
    <w:rPr>
      <w:rFonts w:ascii="Arial" w:eastAsia="Arial" w:hAnsi="Arial" w:cs="Arial"/>
      <w:i/>
      <w:iCs/>
      <w:spacing w:val="8"/>
      <w:sz w:val="14"/>
      <w:szCs w:val="14"/>
    </w:rPr>
  </w:style>
  <w:style w:type="paragraph" w:customStyle="1" w:styleId="80">
    <w:name w:val="Основний текст (8)"/>
    <w:basedOn w:val="a"/>
    <w:link w:val="8"/>
    <w:rsid w:val="00916841"/>
    <w:pPr>
      <w:shd w:val="clear" w:color="auto" w:fill="FFFFFF"/>
      <w:spacing w:line="0" w:lineRule="atLeast"/>
    </w:pPr>
    <w:rPr>
      <w:rFonts w:ascii="Segoe UI" w:eastAsia="Segoe UI" w:hAnsi="Segoe UI" w:cs="Segoe UI"/>
      <w:b/>
      <w:bCs/>
      <w:spacing w:val="-72"/>
      <w:sz w:val="80"/>
      <w:szCs w:val="80"/>
      <w:lang w:val="en-US" w:eastAsia="en-US" w:bidi="en-US"/>
    </w:rPr>
  </w:style>
  <w:style w:type="paragraph" w:customStyle="1" w:styleId="110">
    <w:name w:val="Основний текст (11)"/>
    <w:basedOn w:val="a"/>
    <w:link w:val="11"/>
    <w:rsid w:val="00916841"/>
    <w:pPr>
      <w:shd w:val="clear" w:color="auto" w:fill="FFFFFF"/>
      <w:spacing w:line="250" w:lineRule="exact"/>
      <w:ind w:hanging="180"/>
    </w:pPr>
    <w:rPr>
      <w:rFonts w:ascii="Sylfaen" w:eastAsia="Sylfaen" w:hAnsi="Sylfaen" w:cs="Sylfaen"/>
      <w:sz w:val="16"/>
      <w:szCs w:val="16"/>
    </w:rPr>
  </w:style>
  <w:style w:type="paragraph" w:customStyle="1" w:styleId="42">
    <w:name w:val="Підпис до зображення (4)"/>
    <w:basedOn w:val="a"/>
    <w:link w:val="41"/>
    <w:rsid w:val="00916841"/>
    <w:pPr>
      <w:shd w:val="clear" w:color="auto" w:fill="FFFFFF"/>
      <w:spacing w:line="0" w:lineRule="atLeast"/>
    </w:pPr>
    <w:rPr>
      <w:rFonts w:ascii="Arial" w:eastAsia="Arial" w:hAnsi="Arial" w:cs="Arial"/>
      <w:spacing w:val="2"/>
      <w:w w:val="33"/>
      <w:sz w:val="8"/>
      <w:szCs w:val="8"/>
    </w:rPr>
  </w:style>
  <w:style w:type="paragraph" w:customStyle="1" w:styleId="52">
    <w:name w:val="Підпис до зображення (5)"/>
    <w:basedOn w:val="a"/>
    <w:link w:val="51"/>
    <w:rsid w:val="00916841"/>
    <w:pPr>
      <w:shd w:val="clear" w:color="auto" w:fill="FFFFFF"/>
      <w:spacing w:line="0" w:lineRule="atLeast"/>
    </w:pPr>
    <w:rPr>
      <w:rFonts w:ascii="Garamond" w:eastAsia="Garamond" w:hAnsi="Garamond" w:cs="Garamond"/>
      <w:sz w:val="19"/>
      <w:szCs w:val="19"/>
    </w:rPr>
  </w:style>
  <w:style w:type="paragraph" w:customStyle="1" w:styleId="62">
    <w:name w:val="Підпис до зображення (6)"/>
    <w:basedOn w:val="a"/>
    <w:link w:val="61"/>
    <w:rsid w:val="00916841"/>
    <w:pPr>
      <w:shd w:val="clear" w:color="auto" w:fill="FFFFFF"/>
      <w:spacing w:line="0" w:lineRule="atLeast"/>
    </w:pPr>
    <w:rPr>
      <w:rFonts w:ascii="Arial" w:eastAsia="Arial" w:hAnsi="Arial" w:cs="Arial"/>
      <w:spacing w:val="-11"/>
      <w:sz w:val="10"/>
      <w:szCs w:val="10"/>
    </w:rPr>
  </w:style>
  <w:style w:type="paragraph" w:customStyle="1" w:styleId="ac">
    <w:name w:val="Підпис до зображення"/>
    <w:basedOn w:val="a"/>
    <w:link w:val="ab"/>
    <w:rsid w:val="00916841"/>
    <w:pPr>
      <w:shd w:val="clear" w:color="auto" w:fill="FFFFFF"/>
      <w:spacing w:after="300" w:line="0" w:lineRule="atLeast"/>
      <w:ind w:hanging="180"/>
      <w:jc w:val="both"/>
    </w:pPr>
    <w:rPr>
      <w:rFonts w:ascii="Sylfaen" w:eastAsia="Sylfaen" w:hAnsi="Sylfaen" w:cs="Sylfaen"/>
      <w:sz w:val="16"/>
      <w:szCs w:val="16"/>
    </w:rPr>
  </w:style>
  <w:style w:type="paragraph" w:customStyle="1" w:styleId="221">
    <w:name w:val="Заголовок №2 (2)"/>
    <w:basedOn w:val="a"/>
    <w:link w:val="220"/>
    <w:rsid w:val="00916841"/>
    <w:pPr>
      <w:shd w:val="clear" w:color="auto" w:fill="FFFFFF"/>
      <w:spacing w:before="240" w:after="240" w:line="0" w:lineRule="atLeast"/>
      <w:jc w:val="center"/>
      <w:outlineLvl w:val="1"/>
    </w:pPr>
    <w:rPr>
      <w:rFonts w:ascii="Arial" w:eastAsia="Arial" w:hAnsi="Arial" w:cs="Arial"/>
      <w:b/>
      <w:bCs/>
      <w:i/>
      <w:iCs/>
      <w:spacing w:val="1"/>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LIBRARY\AppData\Local\Temp\FineReader11.00\media\image1.jpeg" TargetMode="External"/><Relationship Id="rId13" Type="http://schemas.openxmlformats.org/officeDocument/2006/relationships/image" Target="file:///C:\Users\LIBRARY\AppData\Local\Temp\FineReader11.00\media\image4.jpeg" TargetMode="External"/><Relationship Id="rId18" Type="http://schemas.openxmlformats.org/officeDocument/2006/relationships/hyperlink" Target="http://ubr.ua/finances/exchange-market/nbu-prodoljit-dela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ank.gov.ua/doccatalog/document?id=91916."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bank.gov.ua/files/stat.pdf." TargetMode="External"/><Relationship Id="rId25" Type="http://schemas.openxmlformats.org/officeDocument/2006/relationships/hyperlink" Target="http://w1.c1.rada.gov.ua/pls/zweb2/" TargetMode="External"/><Relationship Id="rId2" Type="http://schemas.openxmlformats.org/officeDocument/2006/relationships/styles" Target="styles.xml"/><Relationship Id="rId16" Type="http://schemas.openxmlformats.org/officeDocument/2006/relationships/hyperlink" Target="http://www.bank.gov.ua/doccatalog/document?id=91917." TargetMode="External"/><Relationship Id="rId20" Type="http://schemas.openxmlformats.org/officeDocument/2006/relationships/hyperlink" Target="http://news.finance.ua/ua/~/1/0/a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zakon4.rada.gov.ua/laws/show/5515-17." TargetMode="External"/><Relationship Id="rId5" Type="http://schemas.openxmlformats.org/officeDocument/2006/relationships/footnotes" Target="footnotes.xml"/><Relationship Id="rId15" Type="http://schemas.openxmlformats.org/officeDocument/2006/relationships/hyperlink" Target="http://www.bank.gov.ua/doccatalog/document?id=503712." TargetMode="External"/><Relationship Id="rId23" Type="http://schemas.openxmlformats.org/officeDocument/2006/relationships/hyperlink" Target="http://news.finance.ua/ua/toplist/~/2/4/" TargetMode="External"/><Relationship Id="rId10" Type="http://schemas.openxmlformats.org/officeDocument/2006/relationships/image" Target="file:///C:\Users\LIBRARY\AppData\Local\Temp\FineReader11.00\media\image2.png" TargetMode="External"/><Relationship Id="rId19" Type="http://schemas.openxmlformats.org/officeDocument/2006/relationships/hyperlink" Target="http://forbes.ua/nation/1347745-nacbank-kupil-rekordnyj-ob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buv.gov.ua/portal/Soc_Gum/Ekonomist/" TargetMode="External"/><Relationship Id="rId22" Type="http://schemas.openxmlformats.org/officeDocument/2006/relationships/hyperlink" Target="http://finance.liga.net/personal/2013/4/1/news/33357.ht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23589</Words>
  <Characters>13446</Characters>
  <Application>Microsoft Office Word</Application>
  <DocSecurity>0</DocSecurity>
  <Lines>112</Lines>
  <Paragraphs>73</Paragraphs>
  <ScaleCrop>false</ScaleCrop>
  <Company>Microsoft</Company>
  <LinksUpToDate>false</LinksUpToDate>
  <CharactersWithSpaces>36962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2017-06-14T09:24:00Z</dcterms:created>
  <dcterms:modified xsi:type="dcterms:W3CDTF">2017-06-14T09:25:00Z</dcterms:modified>
</cp:coreProperties>
</file>