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6B" w:rsidRDefault="00F14E17">
      <w:pPr>
        <w:pStyle w:val="a5"/>
        <w:framePr w:w="5400" w:h="490" w:hRule="exact" w:wrap="around" w:vAnchor="page" w:hAnchor="page" w:x="5113" w:y="1054"/>
        <w:shd w:val="clear" w:color="auto" w:fill="auto"/>
        <w:spacing w:after="24" w:line="180" w:lineRule="exact"/>
        <w:ind w:right="20"/>
      </w:pPr>
      <w:r>
        <w:t>Управління розвитком соціально-економічних систем</w:t>
      </w:r>
    </w:p>
    <w:p w:rsidR="007D216B" w:rsidRDefault="00F14E17">
      <w:pPr>
        <w:pStyle w:val="a5"/>
        <w:framePr w:w="5400" w:h="490" w:hRule="exact" w:wrap="around" w:vAnchor="page" w:hAnchor="page" w:x="5113" w:y="1054"/>
        <w:shd w:val="clear" w:color="auto" w:fill="auto"/>
        <w:spacing w:after="0" w:line="180" w:lineRule="exact"/>
        <w:ind w:right="20"/>
      </w:pPr>
      <w:r>
        <w:t>мікро-, мезо- та макрорівня</w:t>
      </w:r>
    </w:p>
    <w:p w:rsidR="007D216B" w:rsidRDefault="00F14E17">
      <w:pPr>
        <w:pStyle w:val="20"/>
        <w:framePr w:w="9096" w:h="11782" w:hRule="exact" w:wrap="around" w:vAnchor="page" w:hAnchor="page" w:x="1407" w:y="2518"/>
        <w:shd w:val="clear" w:color="auto" w:fill="auto"/>
        <w:spacing w:after="463" w:line="180" w:lineRule="exact"/>
        <w:ind w:right="40"/>
      </w:pPr>
      <w:r>
        <w:t>Ярослав ФЕДЕНЧУК</w:t>
      </w:r>
    </w:p>
    <w:p w:rsidR="007D216B" w:rsidRDefault="00F14E17">
      <w:pPr>
        <w:pStyle w:val="10"/>
        <w:framePr w:w="9096" w:h="11782" w:hRule="exact" w:wrap="around" w:vAnchor="page" w:hAnchor="page" w:x="1407" w:y="2518"/>
        <w:shd w:val="clear" w:color="auto" w:fill="auto"/>
        <w:spacing w:before="0" w:after="208" w:line="180" w:lineRule="exact"/>
        <w:ind w:left="20"/>
      </w:pPr>
      <w:bookmarkStart w:id="0" w:name="bookmark0"/>
      <w:r>
        <w:t>МЕТОДОЛОГІЧНІ ЗАСАДИ АНТИКРИЗОВОГО УПРАВЛІННЯ РОЗВИТКОМ МІСТА</w:t>
      </w:r>
      <w:bookmarkEnd w:id="0"/>
    </w:p>
    <w:p w:rsidR="007D216B" w:rsidRDefault="00F14E17">
      <w:pPr>
        <w:pStyle w:val="30"/>
        <w:framePr w:w="9096" w:h="11782" w:hRule="exact" w:wrap="around" w:vAnchor="page" w:hAnchor="page" w:x="1407" w:y="2518"/>
        <w:shd w:val="clear" w:color="auto" w:fill="auto"/>
        <w:spacing w:before="0"/>
        <w:ind w:left="20" w:right="40" w:firstLine="280"/>
      </w:pPr>
      <w:r>
        <w:t>Обґрунтовано методологічні засади антикризового управління розвитком міста</w:t>
      </w:r>
      <w:r>
        <w:rPr>
          <w:rStyle w:val="3David12pt0pt"/>
        </w:rPr>
        <w:t xml:space="preserve"> </w:t>
      </w:r>
      <w:r>
        <w:rPr>
          <w:rStyle w:val="30pt"/>
        </w:rPr>
        <w:t xml:space="preserve">з </w:t>
      </w:r>
      <w:r>
        <w:t>урахуванням принципів</w:t>
      </w:r>
      <w:r>
        <w:t xml:space="preserve"> ситуаційного управління в умовах невизначеності зовнішнього середовища.</w:t>
      </w:r>
    </w:p>
    <w:p w:rsidR="007D216B" w:rsidRDefault="00F14E17">
      <w:pPr>
        <w:pStyle w:val="30"/>
        <w:framePr w:w="9096" w:h="11782" w:hRule="exact" w:wrap="around" w:vAnchor="page" w:hAnchor="page" w:x="1407" w:y="2518"/>
        <w:shd w:val="clear" w:color="auto" w:fill="auto"/>
        <w:spacing w:before="0"/>
        <w:ind w:left="20" w:right="40" w:firstLine="280"/>
      </w:pPr>
      <w:r>
        <w:rPr>
          <w:lang w:val="en-US" w:eastAsia="en-US" w:bidi="en-US"/>
        </w:rPr>
        <w:t>Methodological principles of management of risks are grounded and against the crisis management by development of towns taking into account principles of situational management in the</w:t>
      </w:r>
      <w:r>
        <w:rPr>
          <w:lang w:val="en-US" w:eastAsia="en-US" w:bidi="en-US"/>
        </w:rPr>
        <w:t xml:space="preserve"> conditions of vagueness of external environment.</w:t>
      </w:r>
    </w:p>
    <w:p w:rsidR="007D216B" w:rsidRDefault="00F14E17">
      <w:pPr>
        <w:pStyle w:val="a7"/>
        <w:framePr w:w="9096" w:h="11782" w:hRule="exact" w:wrap="around" w:vAnchor="page" w:hAnchor="page" w:x="1407" w:y="2518"/>
        <w:shd w:val="clear" w:color="auto" w:fill="auto"/>
        <w:spacing w:before="0"/>
        <w:ind w:left="20" w:right="40" w:firstLine="280"/>
      </w:pPr>
      <w:r>
        <w:t>Практичне впровадження принципу стабільного зростання в площині управління розвитком міста потребує імплементації інноваційних технологій муніципального менеджменту, одним із інструментів якого є антикризов</w:t>
      </w:r>
      <w:r>
        <w:t>е управління.</w:t>
      </w:r>
    </w:p>
    <w:p w:rsidR="007D216B" w:rsidRDefault="00F14E17">
      <w:pPr>
        <w:pStyle w:val="a7"/>
        <w:framePr w:w="9096" w:h="11782" w:hRule="exact" w:wrap="around" w:vAnchor="page" w:hAnchor="page" w:x="1407" w:y="2518"/>
        <w:shd w:val="clear" w:color="auto" w:fill="auto"/>
        <w:spacing w:before="0"/>
        <w:ind w:left="20" w:right="40" w:firstLine="280"/>
      </w:pPr>
      <w:r>
        <w:t xml:space="preserve">Питання антикризового управління організацією, переважно комерційним підприємством, розглядаються в працях О. Антонової [1], В. Буянова, К. Кірсановата Л. Михайлова [2], В. Василенко [3], Є. Жарковськоїта Б. Бродського [4], А.Зуба [5], Е. </w:t>
      </w:r>
      <w:r>
        <w:t>Короткова [6], Н. Самоукіної [7], А. Чернявського [8]. Проте проблема антикризового управління розвитком міста практично не досліджена у вітчизняній науковій літературі, а використання зарубіжних напрацювань є проблематичним з огляду на специ</w:t>
      </w:r>
      <w:r>
        <w:softHyphen/>
        <w:t>фічні економі</w:t>
      </w:r>
      <w:r>
        <w:t xml:space="preserve">чні, соціальні, адміністративно-територіальні, політичні умови розвитку місцевого самоврядування в Україні. Вказане визначає неабияку актуальність представленого дослідження, що посилюється з огляду на перспективу реалізації адміністративно-територіальної </w:t>
      </w:r>
      <w:r>
        <w:t>реформи.</w:t>
      </w:r>
    </w:p>
    <w:p w:rsidR="007D216B" w:rsidRDefault="00F14E17">
      <w:pPr>
        <w:pStyle w:val="a7"/>
        <w:framePr w:w="9096" w:h="11782" w:hRule="exact" w:wrap="around" w:vAnchor="page" w:hAnchor="page" w:x="1407" w:y="2518"/>
        <w:shd w:val="clear" w:color="auto" w:fill="auto"/>
        <w:spacing w:before="0"/>
        <w:ind w:left="20" w:right="40" w:firstLine="280"/>
      </w:pPr>
      <w:r>
        <w:t>Завданням дослідження є вироблення авторських методологічних підходів до реалізації технологій антикризового управління розвитком міста з позиції розгляду його як складної динамічної відкритої організації.</w:t>
      </w:r>
    </w:p>
    <w:p w:rsidR="007D216B" w:rsidRDefault="00F14E17">
      <w:pPr>
        <w:pStyle w:val="a7"/>
        <w:framePr w:w="9096" w:h="11782" w:hRule="exact" w:wrap="around" w:vAnchor="page" w:hAnchor="page" w:x="1407" w:y="2518"/>
        <w:shd w:val="clear" w:color="auto" w:fill="auto"/>
        <w:spacing w:before="0"/>
        <w:ind w:left="20" w:right="40" w:firstLine="280"/>
      </w:pPr>
      <w:r>
        <w:t>Інструменти муніципального менеджменту по</w:t>
      </w:r>
      <w:r>
        <w:t xml:space="preserve">кликані попереджувати кризовий стан міста й не допускати його виникнення. Криза є однією з фаз життєвого циклу міста як мезосистеми, умовою його розвитку. Всі елементи організаційної системи муніципального менеджменту (макро-, мікро- середовище, внутрішнє </w:t>
      </w:r>
      <w:r>
        <w:t>середовище) можуть бути джерелами кризового стану. Закономірний цикліч</w:t>
      </w:r>
      <w:r>
        <w:softHyphen/>
        <w:t>ний розвиток чи випадкові кризи можуть бути зумовлені різноманітними факторами (політичними, природними, економічними, соціальними).</w:t>
      </w:r>
    </w:p>
    <w:p w:rsidR="007D216B" w:rsidRDefault="00F14E17">
      <w:pPr>
        <w:pStyle w:val="a7"/>
        <w:framePr w:w="9096" w:h="11782" w:hRule="exact" w:wrap="around" w:vAnchor="page" w:hAnchor="page" w:x="1407" w:y="2518"/>
        <w:shd w:val="clear" w:color="auto" w:fill="auto"/>
        <w:spacing w:before="0"/>
        <w:ind w:left="20" w:right="40" w:firstLine="280"/>
      </w:pPr>
      <w:r>
        <w:t>Циклічний розвиток макроекономічної системи позначає</w:t>
      </w:r>
      <w:r>
        <w:t>ться на всіх її підсистемах, утому числі на містах. Дію, зміну зовнішніх факторів необхідно відстежувати як «сигнали» кризи за допомогою моніторингу, але управляти ними неможливо. З метою виходу з кризового стану органи місцевого самоврядування мають викор</w:t>
      </w:r>
      <w:r>
        <w:t>истовувати механізм антикризового управління міста, муніципальними підприємствами, підсистемами міста за запропонованим нами алгоритмом. Він передбачає сім основних складових управлінських дій, кожній з яких відповідає певний набір інструментів (рис. 1). У</w:t>
      </w:r>
      <w:r>
        <w:t xml:space="preserve"> процесі реалізації антикризового управління відбувається порівняння мети і результату, коригування плану антикризового управління, проводиться додаткова діагностика. Під часздійснення порівняння, а також на етапах 7, 6, 4 доцільно використовувати програмн</w:t>
      </w:r>
      <w:r>
        <w:t>і пакети, що дають змогу автоматизувати розрахунки і моделювати ситуацію. Після кожного етапу слід прийняти рішення про доцільність переходу на наступний чи про завершення антикризового управління внаслідок припинення дії фак</w:t>
      </w:r>
      <w:r>
        <w:softHyphen/>
        <w:t>торів кризи, неможливості реал</w:t>
      </w:r>
      <w:r>
        <w:t>ізації наміченого плану, досягнення цілей, що ставляться.</w:t>
      </w:r>
    </w:p>
    <w:p w:rsidR="007D216B" w:rsidRDefault="00F14E17">
      <w:pPr>
        <w:pStyle w:val="a7"/>
        <w:framePr w:w="9096" w:h="11782" w:hRule="exact" w:wrap="around" w:vAnchor="page" w:hAnchor="page" w:x="1407" w:y="2518"/>
        <w:shd w:val="clear" w:color="auto" w:fill="auto"/>
        <w:spacing w:before="0"/>
        <w:ind w:left="20" w:right="40" w:firstLine="280"/>
      </w:pPr>
      <w:r>
        <w:t>Вибір інструментів антикризового управління в місті визначається глибиною, системністю кризи міста і може розглядатися в кількох взаємопов’язаних аспектах (табл. 1).</w:t>
      </w:r>
    </w:p>
    <w:p w:rsidR="007D216B" w:rsidRDefault="00F14E17">
      <w:pPr>
        <w:pStyle w:val="40"/>
        <w:framePr w:wrap="around" w:vAnchor="page" w:hAnchor="page" w:x="1407" w:y="14820"/>
        <w:shd w:val="clear" w:color="auto" w:fill="auto"/>
        <w:spacing w:before="0" w:line="140" w:lineRule="exact"/>
        <w:ind w:left="20"/>
      </w:pPr>
      <w:r>
        <w:t>© Яр ослав Феденчук, 2013.</w:t>
      </w:r>
    </w:p>
    <w:p w:rsidR="007D216B" w:rsidRDefault="00F14E17">
      <w:pPr>
        <w:pStyle w:val="22"/>
        <w:framePr w:wrap="around" w:vAnchor="page" w:hAnchor="page" w:x="1397" w:y="15569"/>
        <w:shd w:val="clear" w:color="auto" w:fill="auto"/>
        <w:spacing w:line="130" w:lineRule="exact"/>
        <w:ind w:left="20"/>
      </w:pPr>
      <w:r>
        <w:t>Наука</w:t>
      </w:r>
      <w:r>
        <w:t xml:space="preserve"> молода № 19, 2013 р.</w:t>
      </w:r>
    </w:p>
    <w:p w:rsidR="007D216B" w:rsidRDefault="00F14E17">
      <w:pPr>
        <w:pStyle w:val="a5"/>
        <w:framePr w:wrap="around" w:vAnchor="page" w:hAnchor="page" w:x="10273" w:y="15584"/>
        <w:shd w:val="clear" w:color="auto" w:fill="auto"/>
        <w:spacing w:after="0" w:line="180" w:lineRule="exact"/>
        <w:ind w:left="20"/>
        <w:jc w:val="left"/>
      </w:pPr>
      <w:r>
        <w:t>61</w:t>
      </w:r>
    </w:p>
    <w:p w:rsidR="007D216B" w:rsidRDefault="007D216B">
      <w:pPr>
        <w:rPr>
          <w:sz w:val="2"/>
          <w:szCs w:val="2"/>
        </w:rPr>
        <w:sectPr w:rsidR="007D21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16B" w:rsidRDefault="00F14E17">
      <w:pPr>
        <w:pStyle w:val="32"/>
        <w:framePr w:w="3845" w:h="461" w:hRule="exact" w:wrap="around" w:vAnchor="page" w:hAnchor="page" w:x="1359" w:y="1066"/>
        <w:shd w:val="clear" w:color="auto" w:fill="auto"/>
        <w:spacing w:after="32" w:line="140" w:lineRule="exact"/>
        <w:ind w:left="40"/>
      </w:pPr>
      <w:r>
        <w:lastRenderedPageBreak/>
        <w:t>Я. Феденчук</w:t>
      </w:r>
    </w:p>
    <w:p w:rsidR="007D216B" w:rsidRDefault="00F14E17">
      <w:pPr>
        <w:pStyle w:val="a5"/>
        <w:framePr w:w="3845" w:h="461" w:hRule="exact" w:wrap="around" w:vAnchor="page" w:hAnchor="page" w:x="1359" w:y="1066"/>
        <w:shd w:val="clear" w:color="auto" w:fill="auto"/>
        <w:spacing w:after="0" w:line="180" w:lineRule="exact"/>
        <w:ind w:left="40"/>
        <w:jc w:val="left"/>
      </w:pPr>
      <w:r>
        <w:t>Методологічні засади антикризового.</w:t>
      </w:r>
    </w:p>
    <w:p w:rsidR="007D216B" w:rsidRDefault="00F14E17">
      <w:pPr>
        <w:framePr w:wrap="none" w:vAnchor="page" w:hAnchor="page" w:x="1830" w:y="235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595.5pt">
            <v:imagedata r:id="rId7" r:href="rId8"/>
          </v:shape>
        </w:pict>
      </w:r>
    </w:p>
    <w:p w:rsidR="007D216B" w:rsidRDefault="00F14E17">
      <w:pPr>
        <w:pStyle w:val="50"/>
        <w:framePr w:w="2213" w:h="8557" w:hRule="exact" w:wrap="around" w:vAnchor="page" w:hAnchor="page" w:x="8353" w:y="1851"/>
        <w:shd w:val="clear" w:color="auto" w:fill="auto"/>
        <w:ind w:left="20"/>
      </w:pPr>
      <w:r>
        <w:t>Інструменти</w:t>
      </w:r>
    </w:p>
    <w:p w:rsidR="007D216B" w:rsidRDefault="00F14E17">
      <w:pPr>
        <w:pStyle w:val="60"/>
        <w:framePr w:w="2213" w:h="8557" w:hRule="exact" w:wrap="around" w:vAnchor="page" w:hAnchor="page" w:x="8353" w:y="1851"/>
        <w:shd w:val="clear" w:color="auto" w:fill="auto"/>
        <w:ind w:left="20" w:right="440"/>
      </w:pPr>
      <w:r>
        <w:t xml:space="preserve">Експрес-аналіз фінансового </w:t>
      </w:r>
      <w:r>
        <w:t>стану, інтегрована оцінка фінансування малоліквідних активів, метод Альтмана, неформалізовані критерії</w:t>
      </w:r>
    </w:p>
    <w:p w:rsidR="007D216B" w:rsidRDefault="00F14E17">
      <w:pPr>
        <w:pStyle w:val="60"/>
        <w:framePr w:w="2213" w:h="8557" w:hRule="exact" w:wrap="around" w:vAnchor="page" w:hAnchor="page" w:x="8353" w:y="1851"/>
        <w:shd w:val="clear" w:color="auto" w:fill="auto"/>
        <w:ind w:left="20" w:right="440"/>
      </w:pPr>
      <w:r>
        <w:t>Поглиблений фінансовий аналіз</w:t>
      </w:r>
    </w:p>
    <w:p w:rsidR="007D216B" w:rsidRDefault="00F14E17">
      <w:pPr>
        <w:pStyle w:val="60"/>
        <w:framePr w:w="2213" w:h="8557" w:hRule="exact" w:wrap="around" w:vAnchor="page" w:hAnchor="page" w:x="8353" w:y="1851"/>
        <w:shd w:val="clear" w:color="auto" w:fill="auto"/>
        <w:ind w:left="20" w:right="220"/>
      </w:pPr>
      <w:r>
        <w:t>Маркетингові дослідження, соціально- економічний аналіз, ресурсний аналіз</w:t>
      </w:r>
    </w:p>
    <w:p w:rsidR="007D216B" w:rsidRDefault="00F14E17">
      <w:pPr>
        <w:pStyle w:val="60"/>
        <w:framePr w:w="2213" w:h="8557" w:hRule="exact" w:wrap="around" w:vAnchor="page" w:hAnchor="page" w:x="8353" w:y="1851"/>
        <w:shd w:val="clear" w:color="auto" w:fill="auto"/>
        <w:ind w:left="20" w:right="220"/>
      </w:pPr>
      <w:r>
        <w:t>Мозковий штурм, дерево цілей, колективна експерти</w:t>
      </w:r>
      <w:r>
        <w:t xml:space="preserve">за, </w:t>
      </w:r>
      <w:r>
        <w:rPr>
          <w:lang w:val="en-US" w:eastAsia="en-US" w:bidi="en-US"/>
        </w:rPr>
        <w:t xml:space="preserve">ABC </w:t>
      </w:r>
      <w:r>
        <w:t xml:space="preserve">та </w:t>
      </w:r>
      <w:r>
        <w:rPr>
          <w:lang w:val="en-US" w:eastAsia="en-US" w:bidi="en-US"/>
        </w:rPr>
        <w:t xml:space="preserve">XYZ </w:t>
      </w:r>
      <w:r>
        <w:t>аналіз, функціонально- вартісний аналіз, оцінка оргструктури, побудова сценаріїв, використання програмних продуктів</w:t>
      </w:r>
    </w:p>
    <w:p w:rsidR="007D216B" w:rsidRDefault="00F14E17">
      <w:pPr>
        <w:pStyle w:val="60"/>
        <w:framePr w:w="2213" w:h="8557" w:hRule="exact" w:wrap="around" w:vAnchor="page" w:hAnchor="page" w:x="8353" w:y="1851"/>
        <w:shd w:val="clear" w:color="auto" w:fill="auto"/>
        <w:ind w:left="20" w:right="220"/>
      </w:pPr>
      <w:r>
        <w:t>Розроблення та оцінка проектів, фінансова логістика, кліринг, вексельні схеми, взаємозаліки, реструктуризація, санація, банкр</w:t>
      </w:r>
      <w:r>
        <w:t>утство</w:t>
      </w:r>
    </w:p>
    <w:p w:rsidR="007D216B" w:rsidRDefault="00F14E17">
      <w:pPr>
        <w:pStyle w:val="60"/>
        <w:framePr w:w="2213" w:h="8557" w:hRule="exact" w:wrap="around" w:vAnchor="page" w:hAnchor="page" w:x="8353" w:y="1851"/>
        <w:shd w:val="clear" w:color="auto" w:fill="auto"/>
        <w:ind w:left="20" w:right="220"/>
      </w:pPr>
      <w:r>
        <w:t>Мережеве та стрічкове планування</w:t>
      </w:r>
    </w:p>
    <w:p w:rsidR="007D216B" w:rsidRDefault="00F14E17">
      <w:pPr>
        <w:pStyle w:val="60"/>
        <w:framePr w:w="2213" w:h="8557" w:hRule="exact" w:wrap="around" w:vAnchor="page" w:hAnchor="page" w:x="8353" w:y="1851"/>
        <w:shd w:val="clear" w:color="auto" w:fill="auto"/>
        <w:spacing w:after="0"/>
        <w:ind w:left="20" w:right="220"/>
      </w:pPr>
      <w:r>
        <w:t>Бюджетування, мотивація, фінансовий моніторинг, логістика постачання та збуту</w:t>
      </w:r>
    </w:p>
    <w:p w:rsidR="007D216B" w:rsidRDefault="00F14E17">
      <w:pPr>
        <w:pStyle w:val="a9"/>
        <w:framePr w:w="6403" w:h="558" w:hRule="exact" w:wrap="around" w:vAnchor="page" w:hAnchor="page" w:x="2727" w:y="14551"/>
        <w:shd w:val="clear" w:color="auto" w:fill="auto"/>
      </w:pPr>
      <w:r>
        <w:rPr>
          <w:rStyle w:val="0pt"/>
          <w:b/>
          <w:bCs/>
        </w:rPr>
        <w:t xml:space="preserve">Рис. 1. </w:t>
      </w:r>
      <w:r>
        <w:t>Алгоритм реалізації антикризового управління містом та інструментарій його забезпечення</w:t>
      </w:r>
    </w:p>
    <w:p w:rsidR="007D216B" w:rsidRDefault="00F14E17">
      <w:pPr>
        <w:pStyle w:val="a5"/>
        <w:framePr w:wrap="around" w:vAnchor="page" w:hAnchor="page" w:x="1345" w:y="15553"/>
        <w:shd w:val="clear" w:color="auto" w:fill="auto"/>
        <w:spacing w:after="0" w:line="180" w:lineRule="exact"/>
        <w:ind w:left="20"/>
        <w:jc w:val="left"/>
      </w:pPr>
      <w:r>
        <w:t>62</w:t>
      </w:r>
    </w:p>
    <w:p w:rsidR="007D216B" w:rsidRDefault="00F14E17">
      <w:pPr>
        <w:pStyle w:val="22"/>
        <w:framePr w:wrap="around" w:vAnchor="page" w:hAnchor="page" w:x="8276" w:y="15567"/>
        <w:shd w:val="clear" w:color="auto" w:fill="auto"/>
        <w:spacing w:line="130" w:lineRule="exact"/>
        <w:ind w:left="20"/>
      </w:pPr>
      <w:r>
        <w:t>Наука молода № 19, 2013 р.</w:t>
      </w:r>
    </w:p>
    <w:p w:rsidR="007D216B" w:rsidRDefault="007D216B">
      <w:pPr>
        <w:rPr>
          <w:sz w:val="2"/>
          <w:szCs w:val="2"/>
        </w:rPr>
        <w:sectPr w:rsidR="007D21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16B" w:rsidRDefault="00F14E17">
      <w:pPr>
        <w:pStyle w:val="a5"/>
        <w:framePr w:w="8242" w:h="461" w:hRule="exact" w:wrap="around" w:vAnchor="page" w:hAnchor="page" w:x="2326" w:y="1081"/>
        <w:shd w:val="clear" w:color="auto" w:fill="auto"/>
        <w:spacing w:after="24" w:line="180" w:lineRule="exact"/>
        <w:ind w:right="20"/>
      </w:pPr>
      <w:r>
        <w:lastRenderedPageBreak/>
        <w:t>Управління розвитком соціально-економічних систем</w:t>
      </w:r>
    </w:p>
    <w:p w:rsidR="007D216B" w:rsidRDefault="00F14E17">
      <w:pPr>
        <w:pStyle w:val="a5"/>
        <w:framePr w:w="8242" w:h="461" w:hRule="exact" w:wrap="around" w:vAnchor="page" w:hAnchor="page" w:x="2326" w:y="1081"/>
        <w:shd w:val="clear" w:color="auto" w:fill="auto"/>
        <w:spacing w:after="0" w:line="180" w:lineRule="exact"/>
        <w:ind w:right="20"/>
      </w:pPr>
      <w:r>
        <w:t>мікро-, мезо- та макрорівня</w:t>
      </w:r>
    </w:p>
    <w:p w:rsidR="007D216B" w:rsidRDefault="00F14E17">
      <w:pPr>
        <w:pStyle w:val="ab"/>
        <w:framePr w:w="883" w:h="180" w:hRule="exact" w:wrap="around" w:vAnchor="page" w:hAnchor="page" w:x="9603" w:y="1810"/>
        <w:shd w:val="clear" w:color="auto" w:fill="auto"/>
        <w:spacing w:line="180" w:lineRule="exact"/>
      </w:pPr>
      <w:r>
        <w:t>Таблиця 1</w:t>
      </w:r>
    </w:p>
    <w:p w:rsidR="007D216B" w:rsidRDefault="00F14E17">
      <w:pPr>
        <w:pStyle w:val="50"/>
        <w:framePr w:w="8242" w:h="216" w:hRule="exact" w:wrap="around" w:vAnchor="page" w:hAnchor="page" w:x="2326" w:y="2170"/>
        <w:shd w:val="clear" w:color="auto" w:fill="auto"/>
        <w:spacing w:line="180" w:lineRule="exact"/>
        <w:ind w:left="100"/>
      </w:pPr>
      <w:r>
        <w:t>Ситуаційне використання інструментів антикризового управління в місті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68"/>
        <w:gridCol w:w="2189"/>
        <w:gridCol w:w="1790"/>
        <w:gridCol w:w="1939"/>
        <w:gridCol w:w="1810"/>
      </w:tblGrid>
      <w:tr w:rsidR="007D216B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6" w:lineRule="exact"/>
              <w:jc w:val="center"/>
            </w:pPr>
            <w:r>
              <w:rPr>
                <w:rStyle w:val="75pt0pt"/>
              </w:rPr>
              <w:t>Об’єкти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6" w:lineRule="exact"/>
              <w:jc w:val="center"/>
            </w:pPr>
            <w:r>
              <w:rPr>
                <w:rStyle w:val="75pt0pt"/>
              </w:rPr>
              <w:t>антикризового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6" w:lineRule="exact"/>
              <w:jc w:val="center"/>
            </w:pPr>
            <w:r>
              <w:rPr>
                <w:rStyle w:val="75pt0pt"/>
              </w:rPr>
              <w:t>управління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5pt0pt"/>
              </w:rPr>
              <w:t>1-й випадок: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 xml:space="preserve">антикризове управління </w:t>
            </w:r>
            <w:r>
              <w:rPr>
                <w:rStyle w:val="7pt0pt"/>
              </w:rPr>
              <w:t>безпосередньо органами місцевого самоврядування і їх інвестиційно- позичковою системою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5pt0pt"/>
              </w:rPr>
              <w:t>2-й випадок: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антикризове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управління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об’єктами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соціальної сфери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та житлово-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комунальними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підприємствами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5pt0pt"/>
              </w:rPr>
              <w:t>3-й випадок: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антикризове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управління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окремими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комерційними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підприємствами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міста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5pt0pt"/>
              </w:rPr>
              <w:t>4-й випадок: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комбінативне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антикризове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управління</w:t>
            </w:r>
          </w:p>
        </w:tc>
      </w:tr>
      <w:tr w:rsidR="007D216B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6" w:lineRule="exact"/>
              <w:jc w:val="center"/>
            </w:pPr>
            <w:r>
              <w:rPr>
                <w:rStyle w:val="75pt0pt"/>
              </w:rPr>
              <w:t>Фінансовий стан органів місцевого самоврядуван ня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 xml:space="preserve">Діагностика через бюджетний аналіз; моніторинг соціально- економічного стану й ресурсний аналіз; виокремлення й аналіз центрів </w:t>
            </w:r>
            <w:r>
              <w:rPr>
                <w:rStyle w:val="7pt0pt"/>
              </w:rPr>
              <w:t>фінансової відповідальності; якісне розроблення мультипроектів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Взаємозаліки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6B" w:rsidRDefault="007D216B">
            <w:pPr>
              <w:framePr w:w="9096" w:h="7934" w:wrap="around" w:vAnchor="page" w:hAnchor="page" w:x="1419" w:y="267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Взаємозаліки, вексельні схеми, кліринг, стратегічне управління</w:t>
            </w:r>
          </w:p>
        </w:tc>
      </w:tr>
      <w:tr w:rsidR="007D216B">
        <w:tblPrEx>
          <w:tblCellMar>
            <w:top w:w="0" w:type="dxa"/>
            <w:bottom w:w="0" w:type="dxa"/>
          </w:tblCellMar>
        </w:tblPrEx>
        <w:trPr>
          <w:trHeight w:hRule="exact" w:val="19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6" w:lineRule="exact"/>
              <w:jc w:val="center"/>
            </w:pPr>
            <w:r>
              <w:rPr>
                <w:rStyle w:val="75pt0pt"/>
              </w:rPr>
              <w:t>Фінансовий стан організацій соціальної сфери та житлово- комунальних підприємств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6B" w:rsidRDefault="007D216B">
            <w:pPr>
              <w:framePr w:w="9096" w:h="7934" w:wrap="around" w:vAnchor="page" w:hAnchor="page" w:x="1419" w:y="2679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Перехід до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адресної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соціальної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допомоги,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реструктуризація,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функціонально-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вартісний аналіз,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факторинг,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00"/>
              <w:jc w:val="left"/>
            </w:pPr>
            <w:r>
              <w:rPr>
                <w:rStyle w:val="7pt0pt"/>
              </w:rPr>
              <w:t>мініпроекти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16B" w:rsidRDefault="007D216B">
            <w:pPr>
              <w:framePr w:w="9096" w:h="7934" w:wrap="around" w:vAnchor="page" w:hAnchor="page" w:x="1419" w:y="267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>Функціонально- вартісний аналіз, ліквідаційні та реорганізаційні процедури</w:t>
            </w:r>
          </w:p>
        </w:tc>
      </w:tr>
      <w:tr w:rsidR="007D216B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6" w:lineRule="exact"/>
              <w:jc w:val="center"/>
            </w:pPr>
            <w:r>
              <w:rPr>
                <w:rStyle w:val="75pt0pt"/>
              </w:rPr>
              <w:t>Фінансовий стан комерційних підприємств міста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6B" w:rsidRDefault="007D216B">
            <w:pPr>
              <w:framePr w:w="9096" w:h="7934" w:wrap="around" w:vAnchor="page" w:hAnchor="page" w:x="1419" w:y="2679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6B" w:rsidRDefault="007D216B">
            <w:pPr>
              <w:framePr w:w="9096" w:h="7934" w:wrap="around" w:vAnchor="page" w:hAnchor="page" w:x="1419" w:y="2679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202" w:lineRule="exact"/>
              <w:ind w:left="120"/>
              <w:jc w:val="left"/>
            </w:pPr>
            <w:r>
              <w:rPr>
                <w:rStyle w:val="7pt0pt"/>
              </w:rPr>
              <w:t xml:space="preserve">Фінансовий аналіз, прогнозування банкрутства </w:t>
            </w:r>
            <w:r>
              <w:rPr>
                <w:rStyle w:val="7pt0pt"/>
              </w:rPr>
              <w:t>методом Альтмана, комплексне маркетингове дослідження ринку, функціонально- вартісний аналіз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"/>
              </w:rPr>
              <w:t>Банкрутство,</w:t>
            </w:r>
          </w:p>
          <w:p w:rsidR="007D216B" w:rsidRDefault="00F14E17">
            <w:pPr>
              <w:pStyle w:val="a7"/>
              <w:framePr w:w="9096" w:h="7934" w:wrap="around" w:vAnchor="page" w:hAnchor="page" w:x="1419" w:y="2679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"/>
              </w:rPr>
              <w:t>реструктуризація</w:t>
            </w:r>
          </w:p>
        </w:tc>
      </w:tr>
    </w:tbl>
    <w:p w:rsidR="007D216B" w:rsidRDefault="00F14E17">
      <w:pPr>
        <w:pStyle w:val="a7"/>
        <w:framePr w:w="9106" w:h="4306" w:hRule="exact" w:wrap="around" w:vAnchor="page" w:hAnchor="page" w:x="1414" w:y="10841"/>
        <w:shd w:val="clear" w:color="auto" w:fill="auto"/>
        <w:spacing w:before="0"/>
        <w:ind w:left="20" w:right="40" w:firstLine="280"/>
      </w:pPr>
      <w:r>
        <w:t xml:space="preserve">Реалізація антикризового управління розвитком міста пов’язана не тільки з його специфікою, а й з існуючим правовим полем. Коли у </w:t>
      </w:r>
      <w:r>
        <w:t>випадку банкрутства підприємства правове поле визначає Закон України « Про банкрутство», то стосовно антикризового управління органами місцевого самовряду</w:t>
      </w:r>
      <w:r>
        <w:softHyphen/>
        <w:t>вання таке правове поле в Україні відсутнє. Приклади застосування процедур банкрутства муніципалітеті</w:t>
      </w:r>
      <w:r>
        <w:t>в існують на Заході. Так, у 1937 р. в США було прийнято федеральний Закон «Про банкрутство муніципальних органів», метою якого було забезпечення процедури, в рамках якої органи місцевого самоврядування можуть реструктуризувати свою заборгованість. Позитивн</w:t>
      </w:r>
      <w:r>
        <w:t>ими результа</w:t>
      </w:r>
      <w:r>
        <w:softHyphen/>
        <w:t>тами банкрутства муніципалітету є: ліквідація локальної проблеми; відновлення здатності муніципа</w:t>
      </w:r>
      <w:r>
        <w:softHyphen/>
        <w:t>літету самостійно вирішувати свої завдання; захист інтересів населення. Серед негативних результатів: втрата довіри платників податків; погіршення</w:t>
      </w:r>
      <w:r>
        <w:t xml:space="preserve"> кредитного рейтингу на тривалий термін; ускладнення доступу до кредитних ресурсів; зменшення кількості муніципальних проектів та робочих місць. Крім того, процедура банкрутства муніципалітету не покращує муніципальної інфраструктури і не змінює структуру </w:t>
      </w:r>
      <w:r>
        <w:t>муніципального управління [9, с. 450].</w:t>
      </w:r>
    </w:p>
    <w:p w:rsidR="007D216B" w:rsidRDefault="00F14E17">
      <w:pPr>
        <w:pStyle w:val="a7"/>
        <w:framePr w:w="9106" w:h="4306" w:hRule="exact" w:wrap="around" w:vAnchor="page" w:hAnchor="page" w:x="1414" w:y="10841"/>
        <w:shd w:val="clear" w:color="auto" w:fill="auto"/>
        <w:spacing w:before="0"/>
        <w:ind w:left="20" w:right="40" w:firstLine="280"/>
      </w:pPr>
      <w:r>
        <w:t>Роль органів місцевого самоврядування в умовах циклічного розвитку міста полягає в анти- циклічному регулюванні з метою підтримання соціально-економічної стабільності і зменшення розмаху коливань: у фазі кризи і спаду</w:t>
      </w:r>
      <w:r>
        <w:t xml:space="preserve"> необхідно стимулювати ділову активність, підвищувати попит шляхом збільшення бюджетних асигнувань; у фазі піднесення потрібно попередити «перегрівання» економіки</w:t>
      </w:r>
    </w:p>
    <w:p w:rsidR="007D216B" w:rsidRDefault="00F14E17">
      <w:pPr>
        <w:pStyle w:val="22"/>
        <w:framePr w:wrap="around" w:vAnchor="page" w:hAnchor="page" w:x="1409" w:y="15572"/>
        <w:shd w:val="clear" w:color="auto" w:fill="auto"/>
        <w:spacing w:line="130" w:lineRule="exact"/>
        <w:ind w:left="20"/>
      </w:pPr>
      <w:r>
        <w:t>Наука молода № 19, 2013 р.</w:t>
      </w:r>
    </w:p>
    <w:p w:rsidR="007D216B" w:rsidRDefault="00F14E17">
      <w:pPr>
        <w:pStyle w:val="a5"/>
        <w:framePr w:wrap="around" w:vAnchor="page" w:hAnchor="page" w:x="10285" w:y="15587"/>
        <w:shd w:val="clear" w:color="auto" w:fill="auto"/>
        <w:spacing w:after="0" w:line="180" w:lineRule="exact"/>
        <w:ind w:left="20"/>
        <w:jc w:val="left"/>
      </w:pPr>
      <w:r>
        <w:t>63</w:t>
      </w:r>
    </w:p>
    <w:p w:rsidR="007D216B" w:rsidRDefault="007D216B">
      <w:pPr>
        <w:rPr>
          <w:sz w:val="2"/>
          <w:szCs w:val="2"/>
        </w:rPr>
        <w:sectPr w:rsidR="007D21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16B" w:rsidRDefault="00F14E17">
      <w:pPr>
        <w:pStyle w:val="32"/>
        <w:framePr w:w="3960" w:h="461" w:hRule="exact" w:wrap="around" w:vAnchor="page" w:hAnchor="page" w:x="1388" w:y="1088"/>
        <w:shd w:val="clear" w:color="auto" w:fill="auto"/>
        <w:spacing w:after="32" w:line="140" w:lineRule="exact"/>
        <w:ind w:left="40"/>
      </w:pPr>
      <w:r>
        <w:lastRenderedPageBreak/>
        <w:t>Я. Феденчук</w:t>
      </w:r>
    </w:p>
    <w:p w:rsidR="007D216B" w:rsidRDefault="00F14E17">
      <w:pPr>
        <w:pStyle w:val="a5"/>
        <w:framePr w:w="3960" w:h="461" w:hRule="exact" w:wrap="around" w:vAnchor="page" w:hAnchor="page" w:x="1388" w:y="1088"/>
        <w:shd w:val="clear" w:color="auto" w:fill="auto"/>
        <w:spacing w:after="0" w:line="180" w:lineRule="exact"/>
        <w:ind w:left="40"/>
        <w:jc w:val="left"/>
      </w:pPr>
      <w:r>
        <w:t xml:space="preserve">Методологічні засади </w:t>
      </w:r>
      <w:r>
        <w:t>антикризового...</w:t>
      </w:r>
    </w:p>
    <w:p w:rsidR="007D216B" w:rsidRDefault="00F14E17">
      <w:pPr>
        <w:pStyle w:val="a7"/>
        <w:framePr w:w="9082" w:h="13311" w:hRule="exact" w:wrap="around" w:vAnchor="page" w:hAnchor="page" w:x="1431" w:y="1728"/>
        <w:shd w:val="clear" w:color="auto" w:fill="auto"/>
        <w:spacing w:before="0"/>
        <w:ind w:left="20" w:right="40"/>
      </w:pPr>
      <w:r>
        <w:t>методами протилежного характеру. Наприклад, у випадку виникнення кризового стану в місцевому ПАТ, орган місцевого самоврядування може викупити контрольний пакет акцій цього підприємства. Потім муніципалітет безпосередньо бере участь у виве</w:t>
      </w:r>
      <w:r>
        <w:t>денні підприємства з кризи, вирішує соціальні проблеми, надає інвестиційну допомогу. У випадку успішного антикризового управління і підвищення фінансової стійкості підприємства орган місцевого самоврядування, купивши акції за номінальною ціною, отримує дод</w:t>
      </w:r>
      <w:r>
        <w:t>атковий бюджетний дохід від продажу акцій, які виросли в ціні, та надходження податкових платежів. Цей спосіб слід використовувати у випадку, коли кризова ситуація торкається лише соціально значущого містоутворюючого підприємства (ситуація 3, табл. 1).</w:t>
      </w:r>
    </w:p>
    <w:p w:rsidR="007D216B" w:rsidRDefault="00F14E17">
      <w:pPr>
        <w:pStyle w:val="a7"/>
        <w:framePr w:w="9082" w:h="13311" w:hRule="exact" w:wrap="around" w:vAnchor="page" w:hAnchor="page" w:x="1431" w:y="1728"/>
        <w:shd w:val="clear" w:color="auto" w:fill="auto"/>
        <w:spacing w:before="0"/>
        <w:ind w:left="20" w:right="20" w:firstLine="280"/>
      </w:pPr>
      <w:r>
        <w:t>Одн</w:t>
      </w:r>
      <w:r>
        <w:t>ак часто криза є загальною і стосується місцевого бюджету. В цих умовах антикризове управління має спрямовуватися на перехід від безповоротних субсидій до податкових кредитів та гарантування повернення кредитів, від лімітного фінансування муніципального го</w:t>
      </w:r>
      <w:r>
        <w:t>сподарства до програмно-цільового підходу.</w:t>
      </w:r>
    </w:p>
    <w:p w:rsidR="007D216B" w:rsidRDefault="00F14E17">
      <w:pPr>
        <w:pStyle w:val="a7"/>
        <w:framePr w:w="9082" w:h="13311" w:hRule="exact" w:wrap="around" w:vAnchor="page" w:hAnchor="page" w:x="1431" w:y="1728"/>
        <w:shd w:val="clear" w:color="auto" w:fill="auto"/>
        <w:spacing w:before="0"/>
        <w:ind w:left="20" w:right="20" w:firstLine="280"/>
      </w:pPr>
      <w:r>
        <w:t>Антикризові процедури, що пов’язані з недопущенням чи усуненням неплатоспроможності органів місцевого самоврядування (ситуація 1, табл. 1), можуть бути доволі різноманітними: запобіжні процедури, що попереджують н</w:t>
      </w:r>
      <w:r>
        <w:t>еплатоспроможність чи банкрутство місцевих органів влади (особливе значення надається формуванню підсистеми контролю та завчасного виявлення ознак наступної кризи); реорганізаційні процедури, що включають фінансову санацію бюджету, а також комплекс ліквіда</w:t>
      </w:r>
      <w:r>
        <w:t>ційних процедур збиткових унітарних та казенних підприємств; зовнішнє управління містом (як окремими об’єктами власності, так і містом загалом); санація заборгованості чи мирова угода з кредиторами, реструктуризація платежів.</w:t>
      </w:r>
    </w:p>
    <w:p w:rsidR="007D216B" w:rsidRDefault="00F14E17">
      <w:pPr>
        <w:pStyle w:val="a7"/>
        <w:framePr w:w="9082" w:h="13311" w:hRule="exact" w:wrap="around" w:vAnchor="page" w:hAnchor="page" w:x="1431" w:y="1728"/>
        <w:shd w:val="clear" w:color="auto" w:fill="auto"/>
        <w:spacing w:before="0"/>
        <w:ind w:left="20" w:right="20" w:firstLine="280"/>
      </w:pPr>
      <w:r>
        <w:t>У рамках реорганізаційних проц</w:t>
      </w:r>
      <w:r>
        <w:t>едур ліквідацію збиткових комунальних підприємств необхідно проводити тоді, коли факт збитковості пов’язаний з фінансовою допомогою з бюджету чи з невиконанням соціального замовлення, заради якого ці підприємства створені. При цьому потрібно проводити порі</w:t>
      </w:r>
      <w:r>
        <w:t>вняльний розрахунок потенційних збитків, що виникнуть у випадку виконання чи невиконання такої програми.</w:t>
      </w:r>
    </w:p>
    <w:p w:rsidR="007D216B" w:rsidRDefault="00F14E17">
      <w:pPr>
        <w:pStyle w:val="a7"/>
        <w:framePr w:w="9082" w:h="13311" w:hRule="exact" w:wrap="around" w:vAnchor="page" w:hAnchor="page" w:x="1431" w:y="1728"/>
        <w:shd w:val="clear" w:color="auto" w:fill="auto"/>
        <w:spacing w:before="0"/>
        <w:ind w:left="20" w:right="20" w:firstLine="280"/>
      </w:pPr>
      <w:r>
        <w:t>В сукупності антикризові заходи органів місцевого самоврядування можуть утворювати програму переходу бюджетного дефіциту в бюджетний профіцит і включат</w:t>
      </w:r>
      <w:r>
        <w:t>и залучення таких можливих джерел: вивільнення засобів від скорочення статей витрат, в тому числі шляхом скорочення працівників бюджетних установ; отримання засобів від реалізації муніципального майна та активів (цінних паперів, акцій); замороження заробіт</w:t>
      </w:r>
      <w:r>
        <w:t xml:space="preserve">ної плати працівників бюджетного сектору; перегляд договорів оренди; збільшення місцевих податків і зборів; передача доходів від оренди комунального майна кредиторам чи накопичення їх у стабілізаційних фондах; реструктуризація муніципальної заборгованості </w:t>
      </w:r>
      <w:r>
        <w:t>(в цінні папери, кредити); проведення заліків, втому числі податкових з погашення бюджетних кредитів та позичок; отримання позичок; формування заставного фонду; переведення частки прибутку комуналь</w:t>
      </w:r>
      <w:r>
        <w:softHyphen/>
        <w:t>них підприємств у бюджет; ліквідація збиткових комунальних</w:t>
      </w:r>
      <w:r>
        <w:t xml:space="preserve"> підприємств; отримання кредитів ззовні; приватизація комунального майна; коригування системи муніципальних податків і зборів (як пониження, такі підвищення їхніх ставок); модифікація випуску муніципальних облігацій.</w:t>
      </w:r>
    </w:p>
    <w:p w:rsidR="007D216B" w:rsidRDefault="00F14E17">
      <w:pPr>
        <w:pStyle w:val="a7"/>
        <w:framePr w:w="9082" w:h="13311" w:hRule="exact" w:wrap="around" w:vAnchor="page" w:hAnchor="page" w:x="1431" w:y="1728"/>
        <w:shd w:val="clear" w:color="auto" w:fill="auto"/>
        <w:spacing w:before="0"/>
        <w:ind w:left="20" w:right="20" w:firstLine="280"/>
      </w:pPr>
      <w:r>
        <w:t>Технологією антикризового менеджменту ж</w:t>
      </w:r>
      <w:r>
        <w:t>итлово-комунальної та соціальної муніципальних сфер є санація, облік всіх податкових зобов’язань, аналіз фінансових потоків та виявлення найменш ефективних програм та елементів інфраструктури для скорочення витрат.</w:t>
      </w:r>
    </w:p>
    <w:p w:rsidR="007D216B" w:rsidRDefault="00F14E17">
      <w:pPr>
        <w:pStyle w:val="a7"/>
        <w:framePr w:w="9082" w:h="13311" w:hRule="exact" w:wrap="around" w:vAnchor="page" w:hAnchor="page" w:x="1431" w:y="1728"/>
        <w:shd w:val="clear" w:color="auto" w:fill="auto"/>
        <w:spacing w:before="0"/>
        <w:ind w:left="20" w:right="20" w:firstLine="280"/>
      </w:pPr>
      <w:r>
        <w:t xml:space="preserve">У системі антикризового управління ми </w:t>
      </w:r>
      <w:r>
        <w:t>пропонуємо низку антикризових засобів зі зменшення заборгованості комунальних підприємств місцевому бюджету, до яких належать:</w:t>
      </w:r>
    </w:p>
    <w:p w:rsidR="007D216B" w:rsidRDefault="00F14E17">
      <w:pPr>
        <w:pStyle w:val="a7"/>
        <w:framePr w:w="9082" w:h="13311" w:hRule="exact" w:wrap="around" w:vAnchor="page" w:hAnchor="page" w:x="1431" w:y="1728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проведення взаємозаліків. При цьому одним з варіантів може бути: механізм клірингу (це система безготівкових розрахунків з викор</w:t>
      </w:r>
      <w:r>
        <w:t>истанням спеціальних математичних моделей, що дає змогу побудувати прозорі розрахункові ланцюги для максимального погашення заборгованості з мінімальним обсягом «живих коштів»; використання вексельних схем (цей метод передбачає усунення неплатежів за допом</w:t>
      </w:r>
      <w:r>
        <w:t>огою векселя. Банк надає вексельний кредит органу місцевого самоврядування. Векселі, в свою чергу, використовуються для оплати за виконані роботи та поставлену продукцію організаціями. Підприємства оплачують цими векселями власні матеріальні затрати, послу</w:t>
      </w:r>
      <w:r>
        <w:t>ги контрагентів, податки); здійснення взаємозаліку з органами місцевого самоврядування (ця процедура застосовується в тому випадку, коли комунальна організація має заборгованість перед постачальниками ресурсів, а постачальники - заборгованість за платежами</w:t>
      </w:r>
      <w:r>
        <w:t xml:space="preserve"> до місцевого бюджету);</w:t>
      </w:r>
    </w:p>
    <w:p w:rsidR="007D216B" w:rsidRDefault="00F14E17">
      <w:pPr>
        <w:pStyle w:val="a7"/>
        <w:framePr w:w="9082" w:h="13311" w:hRule="exact" w:wrap="around" w:vAnchor="page" w:hAnchor="page" w:x="1431" w:y="1728"/>
        <w:numPr>
          <w:ilvl w:val="0"/>
          <w:numId w:val="1"/>
        </w:numPr>
        <w:shd w:val="clear" w:color="auto" w:fill="auto"/>
        <w:spacing w:before="0"/>
        <w:ind w:left="20" w:firstLine="280"/>
      </w:pPr>
      <w:r>
        <w:t xml:space="preserve"> списання заборгованості;</w:t>
      </w:r>
    </w:p>
    <w:p w:rsidR="007D216B" w:rsidRDefault="00F14E17">
      <w:pPr>
        <w:pStyle w:val="a5"/>
        <w:framePr w:wrap="around" w:vAnchor="page" w:hAnchor="page" w:x="1393" w:y="15565"/>
        <w:shd w:val="clear" w:color="auto" w:fill="auto"/>
        <w:spacing w:after="0" w:line="180" w:lineRule="exact"/>
        <w:ind w:left="20"/>
        <w:jc w:val="left"/>
      </w:pPr>
      <w:r>
        <w:t>64</w:t>
      </w:r>
    </w:p>
    <w:p w:rsidR="007D216B" w:rsidRDefault="00F14E17">
      <w:pPr>
        <w:pStyle w:val="22"/>
        <w:framePr w:wrap="around" w:vAnchor="page" w:hAnchor="page" w:x="8324" w:y="15579"/>
        <w:shd w:val="clear" w:color="auto" w:fill="auto"/>
        <w:spacing w:line="130" w:lineRule="exact"/>
        <w:ind w:left="20"/>
      </w:pPr>
      <w:r>
        <w:t>Наука молода № 19, 2013 р.</w:t>
      </w:r>
    </w:p>
    <w:p w:rsidR="007D216B" w:rsidRDefault="007D216B">
      <w:pPr>
        <w:rPr>
          <w:sz w:val="2"/>
          <w:szCs w:val="2"/>
        </w:rPr>
        <w:sectPr w:rsidR="007D21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216B" w:rsidRDefault="00F14E17">
      <w:pPr>
        <w:pStyle w:val="a5"/>
        <w:framePr w:w="9144" w:h="461" w:hRule="exact" w:wrap="around" w:vAnchor="page" w:hAnchor="page" w:x="1402" w:y="1033"/>
        <w:shd w:val="clear" w:color="auto" w:fill="auto"/>
        <w:spacing w:after="24" w:line="180" w:lineRule="exact"/>
        <w:ind w:right="20"/>
      </w:pPr>
      <w:r>
        <w:lastRenderedPageBreak/>
        <w:t>Управління розвитком соціально-економічних систем</w:t>
      </w:r>
    </w:p>
    <w:p w:rsidR="007D216B" w:rsidRDefault="00F14E17">
      <w:pPr>
        <w:pStyle w:val="a5"/>
        <w:framePr w:w="9144" w:h="461" w:hRule="exact" w:wrap="around" w:vAnchor="page" w:hAnchor="page" w:x="1402" w:y="1033"/>
        <w:shd w:val="clear" w:color="auto" w:fill="auto"/>
        <w:spacing w:after="0" w:line="180" w:lineRule="exact"/>
        <w:ind w:right="20"/>
      </w:pPr>
      <w:r>
        <w:t>мікро-, мезо- та макрорівня</w:t>
      </w:r>
    </w:p>
    <w:p w:rsidR="007D216B" w:rsidRDefault="00F14E17">
      <w:pPr>
        <w:pStyle w:val="a7"/>
        <w:framePr w:w="9082" w:h="7848" w:hRule="exact" w:wrap="around" w:vAnchor="page" w:hAnchor="page" w:x="1426" w:y="1731"/>
        <w:numPr>
          <w:ilvl w:val="0"/>
          <w:numId w:val="1"/>
        </w:numPr>
        <w:shd w:val="clear" w:color="auto" w:fill="auto"/>
        <w:spacing w:before="0"/>
        <w:ind w:left="20" w:right="20" w:firstLine="300"/>
      </w:pPr>
      <w:r>
        <w:t xml:space="preserve"> витребування боргів з неплатників - фізичних і юридичних осіб. Використання цього методу необхідно поєднувати з технологією дисконтування дебіторсько-кредиторської заборгованості муніципального бюджету і бюджетних організацій;</w:t>
      </w:r>
    </w:p>
    <w:p w:rsidR="007D216B" w:rsidRDefault="00F14E17">
      <w:pPr>
        <w:pStyle w:val="a7"/>
        <w:framePr w:w="9082" w:h="7848" w:hRule="exact" w:wrap="around" w:vAnchor="page" w:hAnchor="page" w:x="1426" w:y="1731"/>
        <w:numPr>
          <w:ilvl w:val="0"/>
          <w:numId w:val="1"/>
        </w:numPr>
        <w:shd w:val="clear" w:color="auto" w:fill="auto"/>
        <w:spacing w:before="0"/>
        <w:ind w:left="20" w:firstLine="300"/>
      </w:pPr>
      <w:r>
        <w:t xml:space="preserve"> реструктуризація кредиторсь</w:t>
      </w:r>
      <w:r>
        <w:t>кої заборгованості (розподіл її на більш тривалий час);</w:t>
      </w:r>
    </w:p>
    <w:p w:rsidR="007D216B" w:rsidRDefault="00F14E17">
      <w:pPr>
        <w:pStyle w:val="a7"/>
        <w:framePr w:w="9082" w:h="7848" w:hRule="exact" w:wrap="around" w:vAnchor="page" w:hAnchor="page" w:x="1426" w:y="1731"/>
        <w:numPr>
          <w:ilvl w:val="0"/>
          <w:numId w:val="1"/>
        </w:numPr>
        <w:shd w:val="clear" w:color="auto" w:fill="auto"/>
        <w:spacing w:before="0"/>
        <w:ind w:left="20" w:firstLine="300"/>
      </w:pPr>
      <w:r>
        <w:t xml:space="preserve"> скорочення пільгта дотацій шляхом переходу від категоріального до адресного принципу;</w:t>
      </w:r>
    </w:p>
    <w:p w:rsidR="007D216B" w:rsidRDefault="00F14E17">
      <w:pPr>
        <w:pStyle w:val="a7"/>
        <w:framePr w:w="9082" w:h="7848" w:hRule="exact" w:wrap="around" w:vAnchor="page" w:hAnchor="page" w:x="1426" w:y="1731"/>
        <w:numPr>
          <w:ilvl w:val="0"/>
          <w:numId w:val="1"/>
        </w:numPr>
        <w:shd w:val="clear" w:color="auto" w:fill="auto"/>
        <w:spacing w:before="0"/>
        <w:ind w:left="20" w:firstLine="300"/>
      </w:pPr>
      <w:r>
        <w:t xml:space="preserve"> банкрутство підприємства.</w:t>
      </w:r>
    </w:p>
    <w:p w:rsidR="007D216B" w:rsidRDefault="00F14E17">
      <w:pPr>
        <w:pStyle w:val="a7"/>
        <w:framePr w:w="9082" w:h="7848" w:hRule="exact" w:wrap="around" w:vAnchor="page" w:hAnchor="page" w:x="1426" w:y="1731"/>
        <w:shd w:val="clear" w:color="auto" w:fill="auto"/>
        <w:spacing w:before="0" w:after="356"/>
        <w:ind w:left="20" w:right="20" w:firstLine="300"/>
      </w:pPr>
      <w:r>
        <w:t>Реалізація технологій ризик-менеджментута антикризового управління в муніципальному уп</w:t>
      </w:r>
      <w:r>
        <w:t>равлінні потребує залучення послуг професійних менеджерів, що є можливим лише за умови формування в Україні системи підготовки фахівців за спеціальністю « Муніципальне управління». Вироблення практичних засобів реалізації технологій ризик-менеджменту в мун</w:t>
      </w:r>
      <w:r>
        <w:t>іципальному управлінні станови</w:t>
      </w:r>
      <w:r>
        <w:softHyphen/>
        <w:t>тиме проблемне поле подальших наукових розвідок у цій сфері.</w:t>
      </w:r>
    </w:p>
    <w:p w:rsidR="007D216B" w:rsidRDefault="00F14E17">
      <w:pPr>
        <w:pStyle w:val="120"/>
        <w:framePr w:w="9082" w:h="7848" w:hRule="exact" w:wrap="around" w:vAnchor="page" w:hAnchor="page" w:x="1426" w:y="1731"/>
        <w:shd w:val="clear" w:color="auto" w:fill="auto"/>
        <w:spacing w:before="0" w:after="208" w:line="180" w:lineRule="exact"/>
      </w:pPr>
      <w:bookmarkStart w:id="1" w:name="bookmark1"/>
      <w:r>
        <w:t>Література</w:t>
      </w:r>
      <w:bookmarkEnd w:id="1"/>
    </w:p>
    <w:p w:rsidR="007D216B" w:rsidRDefault="00F14E17">
      <w:pPr>
        <w:pStyle w:val="30"/>
        <w:framePr w:w="9082" w:h="7848" w:hRule="exact" w:wrap="around" w:vAnchor="page" w:hAnchor="page" w:x="1426" w:y="1731"/>
        <w:numPr>
          <w:ilvl w:val="0"/>
          <w:numId w:val="2"/>
        </w:numPr>
        <w:shd w:val="clear" w:color="auto" w:fill="auto"/>
        <w:spacing w:before="0" w:after="0"/>
        <w:ind w:left="720" w:right="20"/>
        <w:jc w:val="left"/>
      </w:pPr>
      <w:r>
        <w:t xml:space="preserve"> Антонова О. В. Управление кризисньїм состоянием организации / О. В. Антонова. - М.: ЮНИТИ-ДАНА, 2004. -141 с.</w:t>
      </w:r>
    </w:p>
    <w:p w:rsidR="007D216B" w:rsidRDefault="00F14E17">
      <w:pPr>
        <w:pStyle w:val="30"/>
        <w:framePr w:w="9082" w:h="7848" w:hRule="exact" w:wrap="around" w:vAnchor="page" w:hAnchor="page" w:x="1426" w:y="1731"/>
        <w:numPr>
          <w:ilvl w:val="0"/>
          <w:numId w:val="2"/>
        </w:numPr>
        <w:shd w:val="clear" w:color="auto" w:fill="auto"/>
        <w:spacing w:before="0" w:after="0"/>
        <w:ind w:left="720" w:right="20"/>
        <w:jc w:val="left"/>
      </w:pPr>
      <w:r>
        <w:t xml:space="preserve"> Буянов В. П. Рискология (управление рисками): учеб. пособ. /В. П. Буянов, К. А. Кирсанов, Л. М. Михайлов. - М.: Зкзамен, 2003. - 384 с.</w:t>
      </w:r>
    </w:p>
    <w:p w:rsidR="007D216B" w:rsidRDefault="00F14E17">
      <w:pPr>
        <w:pStyle w:val="30"/>
        <w:framePr w:w="9082" w:h="7848" w:hRule="exact" w:wrap="around" w:vAnchor="page" w:hAnchor="page" w:x="1426" w:y="1731"/>
        <w:numPr>
          <w:ilvl w:val="0"/>
          <w:numId w:val="2"/>
        </w:numPr>
        <w:shd w:val="clear" w:color="auto" w:fill="auto"/>
        <w:spacing w:before="0" w:after="0"/>
        <w:ind w:left="720" w:right="20"/>
        <w:jc w:val="left"/>
      </w:pPr>
      <w:r>
        <w:t xml:space="preserve"> Василенко В. О. Антикризове управління підприємством: навч. посіб. /В. О. Василенко. - К. : ЦУЛ, 2003. - 504 с.</w:t>
      </w:r>
    </w:p>
    <w:p w:rsidR="007D216B" w:rsidRDefault="00F14E17">
      <w:pPr>
        <w:pStyle w:val="30"/>
        <w:framePr w:w="9082" w:h="7848" w:hRule="exact" w:wrap="around" w:vAnchor="page" w:hAnchor="page" w:x="1426" w:y="1731"/>
        <w:numPr>
          <w:ilvl w:val="0"/>
          <w:numId w:val="2"/>
        </w:numPr>
        <w:shd w:val="clear" w:color="auto" w:fill="auto"/>
        <w:tabs>
          <w:tab w:val="center" w:pos="2000"/>
          <w:tab w:val="right" w:pos="2322"/>
          <w:tab w:val="left" w:pos="2487"/>
          <w:tab w:val="right" w:pos="5725"/>
          <w:tab w:val="center" w:pos="6320"/>
          <w:tab w:val="left" w:pos="7018"/>
          <w:tab w:val="center" w:pos="7318"/>
          <w:tab w:val="right" w:pos="8480"/>
          <w:tab w:val="right" w:pos="9130"/>
          <w:tab w:val="right" w:pos="9066"/>
        </w:tabs>
        <w:spacing w:before="0" w:after="0"/>
        <w:ind w:left="20" w:firstLine="300"/>
      </w:pPr>
      <w:r>
        <w:t xml:space="preserve"> Жаров</w:t>
      </w:r>
      <w:r>
        <w:t>ская</w:t>
      </w:r>
      <w:r>
        <w:tab/>
        <w:t>Е.</w:t>
      </w:r>
      <w:r>
        <w:tab/>
        <w:t>П.</w:t>
      </w:r>
      <w:r>
        <w:tab/>
        <w:t>Антикризисное управление</w:t>
      </w:r>
      <w:r>
        <w:rPr>
          <w:rStyle w:val="3David12pt0pt"/>
        </w:rPr>
        <w:t xml:space="preserve"> / </w:t>
      </w:r>
      <w:r>
        <w:t>Е.</w:t>
      </w:r>
      <w:r>
        <w:tab/>
        <w:t>П.</w:t>
      </w:r>
      <w:r>
        <w:tab/>
        <w:t>Жаровская,</w:t>
      </w:r>
      <w:r>
        <w:tab/>
        <w:t>Б.</w:t>
      </w:r>
      <w:r>
        <w:tab/>
        <w:t>Е.</w:t>
      </w:r>
      <w:r>
        <w:tab/>
        <w:t>Бродский.</w:t>
      </w:r>
      <w:r>
        <w:tab/>
        <w:t>- М.</w:t>
      </w:r>
      <w:r>
        <w:tab/>
        <w:t>:</w:t>
      </w:r>
    </w:p>
    <w:p w:rsidR="007D216B" w:rsidRDefault="00F14E17">
      <w:pPr>
        <w:pStyle w:val="30"/>
        <w:framePr w:w="9082" w:h="7848" w:hRule="exact" w:wrap="around" w:vAnchor="page" w:hAnchor="page" w:x="1426" w:y="1731"/>
        <w:shd w:val="clear" w:color="auto" w:fill="auto"/>
        <w:spacing w:before="0" w:after="0"/>
        <w:ind w:left="720" w:firstLine="0"/>
        <w:jc w:val="left"/>
      </w:pPr>
      <w:r>
        <w:t>Омега-Л, 2005. - 357 с.</w:t>
      </w:r>
    </w:p>
    <w:p w:rsidR="007D216B" w:rsidRDefault="00F14E17">
      <w:pPr>
        <w:pStyle w:val="30"/>
        <w:framePr w:w="9082" w:h="7848" w:hRule="exact" w:wrap="around" w:vAnchor="page" w:hAnchor="page" w:x="1426" w:y="1731"/>
        <w:numPr>
          <w:ilvl w:val="0"/>
          <w:numId w:val="2"/>
        </w:numPr>
        <w:shd w:val="clear" w:color="auto" w:fill="auto"/>
        <w:spacing w:before="0" w:after="0"/>
        <w:ind w:left="720" w:right="20"/>
        <w:jc w:val="left"/>
      </w:pPr>
      <w:r>
        <w:t xml:space="preserve"> Зуб А. Т. Антикризисное управление: учеб. пособ. / А. Т. Зуб. - М.: Аспект Пресе, 2005. - 319 с.</w:t>
      </w:r>
    </w:p>
    <w:p w:rsidR="007D216B" w:rsidRDefault="00F14E17">
      <w:pPr>
        <w:pStyle w:val="30"/>
        <w:framePr w:w="9082" w:h="7848" w:hRule="exact" w:wrap="around" w:vAnchor="page" w:hAnchor="page" w:x="1426" w:y="1731"/>
        <w:numPr>
          <w:ilvl w:val="0"/>
          <w:numId w:val="2"/>
        </w:numPr>
        <w:shd w:val="clear" w:color="auto" w:fill="auto"/>
        <w:spacing w:before="0" w:after="0"/>
        <w:ind w:left="20" w:firstLine="300"/>
      </w:pPr>
      <w:r>
        <w:t xml:space="preserve"> Антикризисное управление: учеб. /под ред. 3. М. Короткова. - М.: Инфра-М, 2003. - 432 с.</w:t>
      </w:r>
    </w:p>
    <w:p w:rsidR="007D216B" w:rsidRDefault="00F14E17">
      <w:pPr>
        <w:pStyle w:val="30"/>
        <w:framePr w:w="9082" w:h="7848" w:hRule="exact" w:wrap="around" w:vAnchor="page" w:hAnchor="page" w:x="1426" w:y="1731"/>
        <w:numPr>
          <w:ilvl w:val="0"/>
          <w:numId w:val="2"/>
        </w:numPr>
        <w:shd w:val="clear" w:color="auto" w:fill="auto"/>
        <w:spacing w:before="0" w:after="0"/>
        <w:ind w:left="720" w:right="20"/>
        <w:jc w:val="left"/>
      </w:pPr>
      <w:r>
        <w:t xml:space="preserve"> Самоукина Н. Антикризисное управление компанией/Н. Самоукина. - СПб.: Питер, 2003. - 192 с.</w:t>
      </w:r>
    </w:p>
    <w:p w:rsidR="007D216B" w:rsidRDefault="00F14E17">
      <w:pPr>
        <w:pStyle w:val="30"/>
        <w:framePr w:w="9082" w:h="7848" w:hRule="exact" w:wrap="around" w:vAnchor="page" w:hAnchor="page" w:x="1426" w:y="1731"/>
        <w:numPr>
          <w:ilvl w:val="0"/>
          <w:numId w:val="2"/>
        </w:numPr>
        <w:shd w:val="clear" w:color="auto" w:fill="auto"/>
        <w:spacing w:before="0" w:after="0"/>
        <w:ind w:left="720" w:right="20"/>
        <w:jc w:val="left"/>
      </w:pPr>
      <w:r>
        <w:t xml:space="preserve"> Чернявский А. Д. Антикризисное управление: учеб. пособ. /А. Д. Чернявски</w:t>
      </w:r>
      <w:r>
        <w:t>й. - К.: МАУП, 2000. - 208 с.</w:t>
      </w:r>
    </w:p>
    <w:p w:rsidR="007D216B" w:rsidRDefault="00F14E17">
      <w:pPr>
        <w:pStyle w:val="30"/>
        <w:framePr w:w="9082" w:h="7848" w:hRule="exact" w:wrap="around" w:vAnchor="page" w:hAnchor="page" w:x="1426" w:y="1731"/>
        <w:numPr>
          <w:ilvl w:val="0"/>
          <w:numId w:val="2"/>
        </w:numPr>
        <w:shd w:val="clear" w:color="auto" w:fill="auto"/>
        <w:spacing w:before="0" w:after="0"/>
        <w:ind w:left="720" w:right="20"/>
        <w:jc w:val="left"/>
      </w:pPr>
      <w:r>
        <w:t xml:space="preserve"> Муниципальньїй менеджмент: справоч. пособ. /В. В. Иванов, А. Н. Коробова. - М.: Инфра- М, 2002. - 718 с.</w:t>
      </w:r>
    </w:p>
    <w:p w:rsidR="007D216B" w:rsidRDefault="00F14E17">
      <w:pPr>
        <w:pStyle w:val="22"/>
        <w:framePr w:wrap="around" w:vAnchor="page" w:hAnchor="page" w:x="1417" w:y="15548"/>
        <w:shd w:val="clear" w:color="auto" w:fill="auto"/>
        <w:spacing w:line="130" w:lineRule="exact"/>
        <w:ind w:left="20"/>
      </w:pPr>
      <w:r>
        <w:t>Наука молода № 19, 2013 р.</w:t>
      </w:r>
    </w:p>
    <w:p w:rsidR="007D216B" w:rsidRDefault="00F14E17">
      <w:pPr>
        <w:pStyle w:val="a5"/>
        <w:framePr w:wrap="around" w:vAnchor="page" w:hAnchor="page" w:x="10292" w:y="15563"/>
        <w:shd w:val="clear" w:color="auto" w:fill="auto"/>
        <w:spacing w:after="0" w:line="180" w:lineRule="exact"/>
        <w:ind w:left="20"/>
        <w:jc w:val="left"/>
      </w:pPr>
      <w:r>
        <w:t>65</w:t>
      </w:r>
    </w:p>
    <w:p w:rsidR="007D216B" w:rsidRDefault="007D216B">
      <w:pPr>
        <w:rPr>
          <w:sz w:val="2"/>
          <w:szCs w:val="2"/>
        </w:rPr>
      </w:pPr>
    </w:p>
    <w:sectPr w:rsidR="007D216B" w:rsidSect="007D216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17" w:rsidRDefault="00F14E17" w:rsidP="007D216B">
      <w:r>
        <w:separator/>
      </w:r>
    </w:p>
  </w:endnote>
  <w:endnote w:type="continuationSeparator" w:id="1">
    <w:p w:rsidR="00F14E17" w:rsidRDefault="00F14E17" w:rsidP="007D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17" w:rsidRDefault="00F14E17"/>
  </w:footnote>
  <w:footnote w:type="continuationSeparator" w:id="1">
    <w:p w:rsidR="00F14E17" w:rsidRDefault="00F14E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F47"/>
    <w:multiLevelType w:val="multilevel"/>
    <w:tmpl w:val="F4E480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256586"/>
    <w:multiLevelType w:val="multilevel"/>
    <w:tmpl w:val="CE6232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216B"/>
    <w:rsid w:val="007D216B"/>
    <w:rsid w:val="009C18B8"/>
    <w:rsid w:val="00F1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21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16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D216B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">
    <w:name w:val="Основний текст (2)_"/>
    <w:basedOn w:val="a0"/>
    <w:link w:val="20"/>
    <w:rsid w:val="007D216B"/>
    <w:rPr>
      <w:rFonts w:ascii="Arial" w:eastAsia="Arial" w:hAnsi="Arial" w:cs="Arial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7D216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ий текст (3)_"/>
    <w:basedOn w:val="a0"/>
    <w:link w:val="30"/>
    <w:rsid w:val="007D216B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3David12pt0pt">
    <w:name w:val="Основний текст (3) + David;12 pt;Не курсив;Інтервал 0 pt"/>
    <w:basedOn w:val="3"/>
    <w:rsid w:val="007D216B"/>
    <w:rPr>
      <w:rFonts w:ascii="David" w:eastAsia="David" w:hAnsi="David" w:cs="David"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0pt">
    <w:name w:val="Основний текст (3) + Напівжирний;Не курсив;Інтервал 0 pt"/>
    <w:basedOn w:val="3"/>
    <w:rsid w:val="007D216B"/>
    <w:rPr>
      <w:b/>
      <w:bCs/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a6">
    <w:name w:val="Основний текст_"/>
    <w:basedOn w:val="a0"/>
    <w:link w:val="a7"/>
    <w:rsid w:val="007D216B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7D2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7D216B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31">
    <w:name w:val="Колонтитул (3)_"/>
    <w:basedOn w:val="a0"/>
    <w:link w:val="32"/>
    <w:rsid w:val="007D2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5">
    <w:name w:val="Основний текст (5)_"/>
    <w:basedOn w:val="a0"/>
    <w:link w:val="50"/>
    <w:rsid w:val="007D216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ий текст (6)_"/>
    <w:basedOn w:val="a0"/>
    <w:link w:val="60"/>
    <w:rsid w:val="007D216B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a8">
    <w:name w:val="Підпис до зображення_"/>
    <w:basedOn w:val="a0"/>
    <w:link w:val="a9"/>
    <w:rsid w:val="007D216B"/>
    <w:rPr>
      <w:rFonts w:ascii="Arial" w:eastAsia="Arial" w:hAnsi="Arial" w:cs="Arial"/>
      <w:b/>
      <w:bCs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0pt">
    <w:name w:val="Підпис до зображення + Не курсив;Інтервал 0 pt"/>
    <w:basedOn w:val="a8"/>
    <w:rsid w:val="007D216B"/>
    <w:rPr>
      <w:i/>
      <w:iCs/>
      <w:color w:val="000000"/>
      <w:spacing w:val="0"/>
      <w:w w:val="100"/>
      <w:position w:val="0"/>
      <w:lang w:val="uk-UA" w:eastAsia="uk-UA" w:bidi="uk-UA"/>
    </w:rPr>
  </w:style>
  <w:style w:type="character" w:customStyle="1" w:styleId="aa">
    <w:name w:val="Підпис до таблиці_"/>
    <w:basedOn w:val="a0"/>
    <w:link w:val="ab"/>
    <w:rsid w:val="007D216B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character" w:customStyle="1" w:styleId="75pt0pt">
    <w:name w:val="Основний текст + 7;5 pt;Напівжирний;Інтервал 0 pt"/>
    <w:basedOn w:val="a6"/>
    <w:rsid w:val="007D216B"/>
    <w:rPr>
      <w:b/>
      <w:bCs/>
      <w:color w:val="000000"/>
      <w:spacing w:val="1"/>
      <w:w w:val="100"/>
      <w:position w:val="0"/>
      <w:sz w:val="15"/>
      <w:szCs w:val="15"/>
      <w:lang w:val="uk-UA" w:eastAsia="uk-UA" w:bidi="uk-UA"/>
    </w:rPr>
  </w:style>
  <w:style w:type="character" w:customStyle="1" w:styleId="7pt0pt">
    <w:name w:val="Основний текст + 7 pt;Інтервал 0 pt"/>
    <w:basedOn w:val="a6"/>
    <w:rsid w:val="007D216B"/>
    <w:rPr>
      <w:color w:val="000000"/>
      <w:spacing w:val="5"/>
      <w:w w:val="100"/>
      <w:position w:val="0"/>
      <w:sz w:val="14"/>
      <w:szCs w:val="14"/>
      <w:lang w:val="uk-UA" w:eastAsia="uk-UA" w:bidi="uk-UA"/>
    </w:rPr>
  </w:style>
  <w:style w:type="character" w:customStyle="1" w:styleId="12">
    <w:name w:val="Заголовок №1 (2)_"/>
    <w:basedOn w:val="a0"/>
    <w:link w:val="120"/>
    <w:rsid w:val="007D216B"/>
    <w:rPr>
      <w:rFonts w:ascii="Arial" w:eastAsia="Arial" w:hAnsi="Arial" w:cs="Arial"/>
      <w:b/>
      <w:bCs/>
      <w:i/>
      <w:iCs/>
      <w:smallCaps w:val="0"/>
      <w:strike w:val="0"/>
      <w:spacing w:val="-1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7D216B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pacing w:val="3"/>
      <w:sz w:val="18"/>
      <w:szCs w:val="18"/>
    </w:rPr>
  </w:style>
  <w:style w:type="paragraph" w:customStyle="1" w:styleId="20">
    <w:name w:val="Основний текст (2)"/>
    <w:basedOn w:val="a"/>
    <w:link w:val="2"/>
    <w:rsid w:val="007D216B"/>
    <w:pPr>
      <w:shd w:val="clear" w:color="auto" w:fill="FFFFFF"/>
      <w:spacing w:after="480" w:line="0" w:lineRule="atLeast"/>
      <w:jc w:val="right"/>
    </w:pPr>
    <w:rPr>
      <w:rFonts w:ascii="Arial" w:eastAsia="Arial" w:hAnsi="Arial" w:cs="Arial"/>
      <w:b/>
      <w:bCs/>
      <w:i/>
      <w:iCs/>
      <w:spacing w:val="-1"/>
      <w:sz w:val="18"/>
      <w:szCs w:val="18"/>
    </w:rPr>
  </w:style>
  <w:style w:type="paragraph" w:customStyle="1" w:styleId="10">
    <w:name w:val="Заголовок №1"/>
    <w:basedOn w:val="a"/>
    <w:link w:val="1"/>
    <w:rsid w:val="007D216B"/>
    <w:pPr>
      <w:shd w:val="clear" w:color="auto" w:fill="FFFFFF"/>
      <w:spacing w:before="480" w:after="300" w:line="0" w:lineRule="atLeast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ий текст (3)"/>
    <w:basedOn w:val="a"/>
    <w:link w:val="3"/>
    <w:rsid w:val="007D216B"/>
    <w:pPr>
      <w:shd w:val="clear" w:color="auto" w:fill="FFFFFF"/>
      <w:spacing w:before="300" w:after="180" w:line="250" w:lineRule="exact"/>
      <w:ind w:hanging="400"/>
      <w:jc w:val="both"/>
    </w:pPr>
    <w:rPr>
      <w:rFonts w:ascii="Arial" w:eastAsia="Arial" w:hAnsi="Arial" w:cs="Arial"/>
      <w:i/>
      <w:iCs/>
      <w:spacing w:val="-1"/>
      <w:sz w:val="18"/>
      <w:szCs w:val="18"/>
    </w:rPr>
  </w:style>
  <w:style w:type="paragraph" w:customStyle="1" w:styleId="a7">
    <w:name w:val="Основний текст"/>
    <w:basedOn w:val="a"/>
    <w:link w:val="a6"/>
    <w:rsid w:val="007D216B"/>
    <w:pPr>
      <w:shd w:val="clear" w:color="auto" w:fill="FFFFFF"/>
      <w:spacing w:before="180" w:line="250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40">
    <w:name w:val="Основний текст (4)"/>
    <w:basedOn w:val="a"/>
    <w:link w:val="4"/>
    <w:rsid w:val="007D216B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2">
    <w:name w:val="Колонтитул (2)"/>
    <w:basedOn w:val="a"/>
    <w:link w:val="21"/>
    <w:rsid w:val="007D216B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32">
    <w:name w:val="Колонтитул (3)"/>
    <w:basedOn w:val="a"/>
    <w:link w:val="31"/>
    <w:rsid w:val="007D216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50">
    <w:name w:val="Основний текст (5)"/>
    <w:basedOn w:val="a"/>
    <w:link w:val="5"/>
    <w:rsid w:val="007D216B"/>
    <w:pPr>
      <w:shd w:val="clear" w:color="auto" w:fill="FFFFFF"/>
      <w:spacing w:line="20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60">
    <w:name w:val="Основний текст (6)"/>
    <w:basedOn w:val="a"/>
    <w:link w:val="6"/>
    <w:rsid w:val="007D216B"/>
    <w:pPr>
      <w:shd w:val="clear" w:color="auto" w:fill="FFFFFF"/>
      <w:spacing w:after="180" w:line="202" w:lineRule="exact"/>
    </w:pPr>
    <w:rPr>
      <w:rFonts w:ascii="Arial" w:eastAsia="Arial" w:hAnsi="Arial" w:cs="Arial"/>
      <w:spacing w:val="5"/>
      <w:sz w:val="14"/>
      <w:szCs w:val="14"/>
    </w:rPr>
  </w:style>
  <w:style w:type="paragraph" w:customStyle="1" w:styleId="a9">
    <w:name w:val="Підпис до зображення"/>
    <w:basedOn w:val="a"/>
    <w:link w:val="a8"/>
    <w:rsid w:val="007D216B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i/>
      <w:iCs/>
      <w:spacing w:val="-1"/>
      <w:sz w:val="18"/>
      <w:szCs w:val="18"/>
    </w:rPr>
  </w:style>
  <w:style w:type="paragraph" w:customStyle="1" w:styleId="ab">
    <w:name w:val="Підпис до таблиці"/>
    <w:basedOn w:val="a"/>
    <w:link w:val="aa"/>
    <w:rsid w:val="007D216B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"/>
      <w:sz w:val="18"/>
      <w:szCs w:val="18"/>
    </w:rPr>
  </w:style>
  <w:style w:type="paragraph" w:customStyle="1" w:styleId="120">
    <w:name w:val="Заголовок №1 (2)"/>
    <w:basedOn w:val="a"/>
    <w:link w:val="12"/>
    <w:rsid w:val="007D216B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i/>
      <w:iCs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IBRARY\AppData\Local\Temp\FineReader11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9035</Words>
  <Characters>5151</Characters>
  <Application>Microsoft Office Word</Application>
  <DocSecurity>0</DocSecurity>
  <Lines>42</Lines>
  <Paragraphs>28</Paragraphs>
  <ScaleCrop>false</ScaleCrop>
  <Company>Microsoft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2017-06-14T08:51:00Z</dcterms:created>
  <dcterms:modified xsi:type="dcterms:W3CDTF">2017-06-14T08:51:00Z</dcterms:modified>
</cp:coreProperties>
</file>