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52" w:rsidRDefault="000B1DC4">
      <w:pPr>
        <w:pStyle w:val="20"/>
        <w:framePr w:wrap="around" w:vAnchor="page" w:hAnchor="page" w:x="981" w:y="1226"/>
        <w:shd w:val="clear" w:color="auto" w:fill="auto"/>
        <w:spacing w:after="0" w:line="210" w:lineRule="exact"/>
        <w:ind w:left="20"/>
      </w:pPr>
      <w:r>
        <w:rPr>
          <w:lang w:val="ru-RU" w:eastAsia="ru-RU" w:bidi="ru-RU"/>
        </w:rPr>
        <w:t>УДК: 336.71</w:t>
      </w:r>
    </w:p>
    <w:p w:rsidR="009D2C52" w:rsidRDefault="000B1DC4">
      <w:pPr>
        <w:pStyle w:val="20"/>
        <w:framePr w:w="9960" w:h="13570" w:hRule="exact" w:wrap="around" w:vAnchor="page" w:hAnchor="page" w:x="981" w:y="1454"/>
        <w:shd w:val="clear" w:color="auto" w:fill="auto"/>
        <w:spacing w:after="0" w:line="274" w:lineRule="exact"/>
        <w:jc w:val="center"/>
      </w:pPr>
      <w:r>
        <w:rPr>
          <w:lang w:val="ru-RU" w:eastAsia="ru-RU" w:bidi="ru-RU"/>
        </w:rPr>
        <w:t xml:space="preserve">Уляна </w:t>
      </w:r>
      <w:r>
        <w:t xml:space="preserve">Ігорівна </w:t>
      </w:r>
      <w:r>
        <w:rPr>
          <w:lang w:val="ru-RU" w:eastAsia="ru-RU" w:bidi="ru-RU"/>
        </w:rPr>
        <w:t>ДАВИД</w:t>
      </w:r>
    </w:p>
    <w:p w:rsidR="009D2C52" w:rsidRDefault="000B1DC4">
      <w:pPr>
        <w:pStyle w:val="a5"/>
        <w:framePr w:w="9960" w:h="13570" w:hRule="exact" w:wrap="around" w:vAnchor="page" w:hAnchor="page" w:x="981" w:y="1454"/>
        <w:shd w:val="clear" w:color="auto" w:fill="auto"/>
      </w:pPr>
      <w:r>
        <w:t xml:space="preserve">аспірант Львівської комерційної академії </w:t>
      </w:r>
      <w:r>
        <w:rPr>
          <w:lang w:val="ru-RU" w:eastAsia="ru-RU" w:bidi="ru-RU"/>
        </w:rPr>
        <w:t xml:space="preserve">м. </w:t>
      </w:r>
      <w:r>
        <w:t xml:space="preserve">Львів, </w:t>
      </w:r>
      <w:r>
        <w:rPr>
          <w:lang w:val="ru-RU" w:eastAsia="ru-RU" w:bidi="ru-RU"/>
        </w:rPr>
        <w:t>вул. Туган-Барановського, 10, 79005,</w:t>
      </w:r>
    </w:p>
    <w:p w:rsidR="009D2C52" w:rsidRDefault="000B1DC4">
      <w:pPr>
        <w:pStyle w:val="a5"/>
        <w:framePr w:w="9960" w:h="13570" w:hRule="exact" w:wrap="around" w:vAnchor="page" w:hAnchor="page" w:x="981" w:y="1454"/>
        <w:shd w:val="clear" w:color="auto" w:fill="auto"/>
        <w:spacing w:after="176"/>
      </w:pPr>
      <w:r>
        <w:rPr>
          <w:lang w:val="ru-RU" w:eastAsia="ru-RU" w:bidi="ru-RU"/>
        </w:rPr>
        <w:t xml:space="preserve">8(032) 275-68-66, </w:t>
      </w:r>
      <w:hyperlink r:id="rId7" w:history="1">
        <w:r>
          <w:rPr>
            <w:rStyle w:val="a3"/>
            <w:lang w:val="en-US" w:eastAsia="en-US" w:bidi="en-US"/>
          </w:rPr>
          <w:t>davudyl</w:t>
        </w:r>
        <w:r w:rsidRPr="00CD7A92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rambler</w:t>
        </w:r>
        <w:r w:rsidRPr="00CD7A92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D2C52" w:rsidRDefault="000B1DC4">
      <w:pPr>
        <w:pStyle w:val="20"/>
        <w:framePr w:w="9960" w:h="13570" w:hRule="exact" w:wrap="around" w:vAnchor="page" w:hAnchor="page" w:x="981" w:y="1454"/>
        <w:shd w:val="clear" w:color="auto" w:fill="auto"/>
        <w:spacing w:after="162" w:line="278" w:lineRule="exact"/>
        <w:jc w:val="center"/>
      </w:pPr>
      <w:r>
        <w:rPr>
          <w:lang w:val="ru-RU" w:eastAsia="ru-RU" w:bidi="ru-RU"/>
        </w:rPr>
        <w:t xml:space="preserve">РОЛЬ </w:t>
      </w:r>
      <w:r>
        <w:t xml:space="preserve">БАНКІВСЬКОГО ІНВЕСТИЦІЙНОГО </w:t>
      </w:r>
      <w:r>
        <w:rPr>
          <w:lang w:val="ru-RU" w:eastAsia="ru-RU" w:bidi="ru-RU"/>
        </w:rPr>
        <w:t xml:space="preserve">КРЕДИТУВАННЯ У </w:t>
      </w:r>
      <w:r>
        <w:t xml:space="preserve">ФІНАНСУВАННІ ЕНЕРГОЗБЕРІГАЮЧИХ ЗАХОДІВ </w:t>
      </w:r>
      <w:r>
        <w:rPr>
          <w:lang w:val="ru-RU" w:eastAsia="ru-RU" w:bidi="ru-RU"/>
        </w:rPr>
        <w:t>НАСЕЛЕННЯ</w:t>
      </w:r>
    </w:p>
    <w:p w:rsidR="009D2C52" w:rsidRPr="00CD7A92" w:rsidRDefault="000B1DC4">
      <w:pPr>
        <w:pStyle w:val="30"/>
        <w:framePr w:w="9960" w:h="13570" w:hRule="exact" w:wrap="around" w:vAnchor="page" w:hAnchor="page" w:x="981" w:y="1454"/>
        <w:shd w:val="clear" w:color="auto" w:fill="auto"/>
        <w:spacing w:before="0"/>
        <w:rPr>
          <w:lang w:val="uk-UA"/>
        </w:rPr>
      </w:pPr>
      <w:r>
        <w:rPr>
          <w:lang w:val="uk-UA" w:eastAsia="uk-UA" w:bidi="uk-UA"/>
        </w:rPr>
        <w:t>Анотація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t>Метою статті є визначення ролі банківського інвестиційного кредитування енергозберігаючих заходів населення та його вплив на економічне зростання Львівської області.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t xml:space="preserve">У процесі вирішення поставлених </w:t>
      </w:r>
      <w:r>
        <w:t>завдань у роботі використовувались метод аналізу та синтезу, порівняльний та факторний аналіз, конкретизації, логічний, аналітичний та статистичний методи.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t xml:space="preserve">В результаті проведеного дослідження визначено ключову роль банківського інвестиційного кредиту у </w:t>
      </w:r>
      <w:r>
        <w:t>реалізації Програми енергозбереження населення та виокремлено її соціально-економічну значущість.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t>Наукова новизна полягає в обгрунтуванні ролі банківського інвестиційного кредиту у сфері енергозбереження та підвищенні економічного і енергетичного потенціал</w:t>
      </w:r>
      <w:r>
        <w:t xml:space="preserve">у держави, а також окреслення заходів із розширення обсягів кредитування програм енергозбереження. Практична значущість полягає у використанні результатів дослідження у банківських установах та органами влади в процесі реалізації програм енергозбереження. </w:t>
      </w:r>
      <w:r>
        <w:t>Результати аналізу відображають ефективність кредитування Програми енергоощадних заходів у Львівській області та має значний економічний потенціал реалізації для населення всієї України.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spacing w:after="193"/>
        <w:ind w:left="20" w:right="20"/>
      </w:pPr>
      <w:r>
        <w:rPr>
          <w:rStyle w:val="40pt"/>
          <w:i/>
          <w:iCs/>
          <w:lang w:val="uk-UA" w:eastAsia="uk-UA" w:bidi="uk-UA"/>
        </w:rPr>
        <w:t xml:space="preserve">Ключові слова: </w:t>
      </w:r>
      <w:r>
        <w:t>Кредит, інвестиційний проект, енергетична криза, еконо</w:t>
      </w:r>
      <w:r>
        <w:t>мічне зростання, енергоощадність,енергоресурси.</w:t>
      </w:r>
    </w:p>
    <w:p w:rsidR="009D2C52" w:rsidRDefault="000B1DC4">
      <w:pPr>
        <w:pStyle w:val="20"/>
        <w:framePr w:w="9960" w:h="13570" w:hRule="exact" w:wrap="around" w:vAnchor="page" w:hAnchor="page" w:x="981" w:y="1454"/>
        <w:shd w:val="clear" w:color="auto" w:fill="auto"/>
        <w:spacing w:after="202" w:line="210" w:lineRule="exact"/>
        <w:jc w:val="center"/>
      </w:pPr>
      <w:r>
        <w:t>Ульяна Игоревна ДАВИД</w:t>
      </w:r>
    </w:p>
    <w:p w:rsidR="009D2C52" w:rsidRDefault="000B1DC4">
      <w:pPr>
        <w:pStyle w:val="20"/>
        <w:framePr w:w="9960" w:h="13570" w:hRule="exact" w:wrap="around" w:vAnchor="page" w:hAnchor="page" w:x="981" w:y="1454"/>
        <w:shd w:val="clear" w:color="auto" w:fill="auto"/>
        <w:spacing w:after="159" w:line="274" w:lineRule="exact"/>
        <w:jc w:val="center"/>
      </w:pPr>
      <w:r>
        <w:t xml:space="preserve">РОЛЬ БАНКОВСКОГО ИНВЕСТИЦИОННОГО КРЕДИТОВАНИЯ В ФИНАНСИРОВАНИИ </w:t>
      </w:r>
      <w:r>
        <w:rPr>
          <w:lang w:val="ru-RU" w:eastAsia="ru-RU" w:bidi="ru-RU"/>
        </w:rPr>
        <w:t xml:space="preserve">ЭНЕРГОСБЕРЕГАЮЩИХ </w:t>
      </w:r>
      <w:r>
        <w:t>МЕРОПРИЯТИЙ НАСЕЛЕНИЯ</w:t>
      </w:r>
    </w:p>
    <w:p w:rsidR="009D2C52" w:rsidRPr="00CD7A92" w:rsidRDefault="000B1DC4">
      <w:pPr>
        <w:pStyle w:val="30"/>
        <w:framePr w:w="9960" w:h="13570" w:hRule="exact" w:wrap="around" w:vAnchor="page" w:hAnchor="page" w:x="981" w:y="1454"/>
        <w:shd w:val="clear" w:color="auto" w:fill="auto"/>
        <w:spacing w:before="0"/>
        <w:rPr>
          <w:lang w:val="ru-RU"/>
        </w:rPr>
      </w:pPr>
      <w:r>
        <w:rPr>
          <w:lang w:val="uk-UA" w:eastAsia="uk-UA" w:bidi="uk-UA"/>
        </w:rPr>
        <w:t>Аннотация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rPr>
          <w:lang w:val="ru-RU" w:eastAsia="ru-RU" w:bidi="ru-RU"/>
        </w:rPr>
        <w:t xml:space="preserve">Целью </w:t>
      </w:r>
      <w:r>
        <w:t xml:space="preserve">статьи </w:t>
      </w:r>
      <w:r>
        <w:rPr>
          <w:lang w:val="ru-RU" w:eastAsia="ru-RU" w:bidi="ru-RU"/>
        </w:rPr>
        <w:t xml:space="preserve">является определение роли </w:t>
      </w:r>
      <w:r>
        <w:t>банковского инвестиционного кредит</w:t>
      </w:r>
      <w:r>
        <w:t xml:space="preserve">ования </w:t>
      </w:r>
      <w:r>
        <w:rPr>
          <w:lang w:val="ru-RU" w:eastAsia="ru-RU" w:bidi="ru-RU"/>
        </w:rPr>
        <w:t xml:space="preserve">энергосберегающих мероприятий </w:t>
      </w:r>
      <w:r>
        <w:t xml:space="preserve">населения и его </w:t>
      </w:r>
      <w:r>
        <w:rPr>
          <w:lang w:val="ru-RU" w:eastAsia="ru-RU" w:bidi="ru-RU"/>
        </w:rPr>
        <w:t xml:space="preserve">влияние </w:t>
      </w:r>
      <w:r>
        <w:t xml:space="preserve">на </w:t>
      </w:r>
      <w:r>
        <w:rPr>
          <w:lang w:val="ru-RU" w:eastAsia="ru-RU" w:bidi="ru-RU"/>
        </w:rPr>
        <w:t xml:space="preserve">экономический </w:t>
      </w:r>
      <w:r>
        <w:t>рост Львовской области.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t xml:space="preserve">В процессе решения </w:t>
      </w:r>
      <w:r>
        <w:rPr>
          <w:lang w:val="ru-RU" w:eastAsia="ru-RU" w:bidi="ru-RU"/>
        </w:rPr>
        <w:t xml:space="preserve">поставленных </w:t>
      </w:r>
      <w:r>
        <w:t xml:space="preserve">задач в работе использовались метод анализа и синтеза, </w:t>
      </w:r>
      <w:r>
        <w:rPr>
          <w:lang w:val="ru-RU" w:eastAsia="ru-RU" w:bidi="ru-RU"/>
        </w:rPr>
        <w:t xml:space="preserve">сравнительный </w:t>
      </w:r>
      <w:r>
        <w:t xml:space="preserve">и </w:t>
      </w:r>
      <w:r>
        <w:rPr>
          <w:lang w:val="ru-RU" w:eastAsia="ru-RU" w:bidi="ru-RU"/>
        </w:rPr>
        <w:t xml:space="preserve">факторный </w:t>
      </w:r>
      <w:r>
        <w:t>анализ, конкретизация, логический, аналит</w:t>
      </w:r>
      <w:r>
        <w:t xml:space="preserve">ический и статистический </w:t>
      </w:r>
      <w:r>
        <w:rPr>
          <w:lang w:val="ru-RU" w:eastAsia="ru-RU" w:bidi="ru-RU"/>
        </w:rPr>
        <w:t>методы.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t xml:space="preserve">В результате проведенного исследования </w:t>
      </w:r>
      <w:r>
        <w:rPr>
          <w:lang w:val="ru-RU" w:eastAsia="ru-RU" w:bidi="ru-RU"/>
        </w:rPr>
        <w:t xml:space="preserve">определены ключевую роль </w:t>
      </w:r>
      <w:r>
        <w:t xml:space="preserve">банковского инвестиционного </w:t>
      </w:r>
      <w:r>
        <w:rPr>
          <w:lang w:val="ru-RU" w:eastAsia="ru-RU" w:bidi="ru-RU"/>
        </w:rPr>
        <w:t xml:space="preserve">кредита </w:t>
      </w:r>
      <w:r>
        <w:t xml:space="preserve">в </w:t>
      </w:r>
      <w:r>
        <w:rPr>
          <w:lang w:val="ru-RU" w:eastAsia="ru-RU" w:bidi="ru-RU"/>
        </w:rPr>
        <w:t xml:space="preserve">реализации Программы энергосбережения </w:t>
      </w:r>
      <w:r>
        <w:t xml:space="preserve">населения и четко очерченного ее </w:t>
      </w:r>
      <w:r>
        <w:rPr>
          <w:lang w:val="ru-RU" w:eastAsia="ru-RU" w:bidi="ru-RU"/>
        </w:rPr>
        <w:t xml:space="preserve">социально-экономическую </w:t>
      </w:r>
      <w:r>
        <w:t>значимость.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rPr>
          <w:lang w:val="ru-RU" w:eastAsia="ru-RU" w:bidi="ru-RU"/>
        </w:rPr>
        <w:t xml:space="preserve">Научная </w:t>
      </w:r>
      <w:r>
        <w:t xml:space="preserve">новизна заключается в </w:t>
      </w:r>
      <w:r>
        <w:rPr>
          <w:lang w:val="ru-RU" w:eastAsia="ru-RU" w:bidi="ru-RU"/>
        </w:rPr>
        <w:t xml:space="preserve">выделении </w:t>
      </w:r>
      <w:r>
        <w:t xml:space="preserve">банковского инвестиционного </w:t>
      </w:r>
      <w:r>
        <w:rPr>
          <w:lang w:val="ru-RU" w:eastAsia="ru-RU" w:bidi="ru-RU"/>
        </w:rPr>
        <w:t xml:space="preserve">кредита </w:t>
      </w:r>
      <w:r>
        <w:t xml:space="preserve">в </w:t>
      </w:r>
      <w:r>
        <w:rPr>
          <w:lang w:val="ru-RU" w:eastAsia="ru-RU" w:bidi="ru-RU"/>
        </w:rPr>
        <w:t xml:space="preserve">сфере энергосбережения </w:t>
      </w:r>
      <w:r>
        <w:t xml:space="preserve">как движущей </w:t>
      </w:r>
      <w:r>
        <w:rPr>
          <w:lang w:val="ru-RU" w:eastAsia="ru-RU" w:bidi="ru-RU"/>
        </w:rPr>
        <w:t xml:space="preserve">силы повышения экономического </w:t>
      </w:r>
      <w:r>
        <w:t xml:space="preserve">и </w:t>
      </w:r>
      <w:r>
        <w:rPr>
          <w:lang w:val="ru-RU" w:eastAsia="ru-RU" w:bidi="ru-RU"/>
        </w:rPr>
        <w:t xml:space="preserve">энергетического потенциала </w:t>
      </w:r>
      <w:r>
        <w:t xml:space="preserve">государства и </w:t>
      </w:r>
      <w:r>
        <w:rPr>
          <w:lang w:val="ru-RU" w:eastAsia="ru-RU" w:bidi="ru-RU"/>
        </w:rPr>
        <w:t>снижение энергозатрат.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rPr>
          <w:lang w:val="ru-RU" w:eastAsia="ru-RU" w:bidi="ru-RU"/>
        </w:rPr>
        <w:t xml:space="preserve">Практическая значимость освещена в процессе отражения </w:t>
      </w:r>
      <w:r>
        <w:rPr>
          <w:lang w:val="ru-RU" w:eastAsia="ru-RU" w:bidi="ru-RU"/>
        </w:rPr>
        <w:t>эффективности кредитования Программы энергосберегающих мероприятий во Львовской области и имеет значительный экономический потенциал разработки и реализации по всей Украине.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spacing w:after="142"/>
        <w:ind w:left="20" w:right="20"/>
      </w:pPr>
      <w:r>
        <w:rPr>
          <w:rStyle w:val="40pt"/>
          <w:i/>
          <w:iCs/>
        </w:rPr>
        <w:t xml:space="preserve">Ключовые слова: </w:t>
      </w:r>
      <w:r>
        <w:rPr>
          <w:lang w:val="ru-RU" w:eastAsia="ru-RU" w:bidi="ru-RU"/>
        </w:rPr>
        <w:t xml:space="preserve">Кредит, инвестиционный проект, энергетический кризис, </w:t>
      </w:r>
      <w:r>
        <w:rPr>
          <w:lang w:val="ru-RU" w:eastAsia="ru-RU" w:bidi="ru-RU"/>
        </w:rPr>
        <w:t>экономический рост, энергосбережение, энергоресурсы.</w:t>
      </w:r>
    </w:p>
    <w:p w:rsidR="009D2C52" w:rsidRDefault="000B1DC4">
      <w:pPr>
        <w:pStyle w:val="20"/>
        <w:framePr w:w="9960" w:h="13570" w:hRule="exact" w:wrap="around" w:vAnchor="page" w:hAnchor="page" w:x="981" w:y="1454"/>
        <w:shd w:val="clear" w:color="auto" w:fill="auto"/>
        <w:spacing w:after="0" w:line="274" w:lineRule="exact"/>
        <w:jc w:val="center"/>
      </w:pPr>
      <w:r>
        <w:rPr>
          <w:lang w:val="en-US" w:eastAsia="en-US" w:bidi="en-US"/>
        </w:rPr>
        <w:t>Uliana DAVYD</w:t>
      </w:r>
    </w:p>
    <w:p w:rsidR="009D2C52" w:rsidRDefault="000B1DC4">
      <w:pPr>
        <w:pStyle w:val="a5"/>
        <w:framePr w:w="9960" w:h="13570" w:hRule="exact" w:wrap="around" w:vAnchor="page" w:hAnchor="page" w:x="981" w:y="1454"/>
        <w:shd w:val="clear" w:color="auto" w:fill="auto"/>
      </w:pPr>
      <w:r>
        <w:rPr>
          <w:lang w:val="en-US" w:eastAsia="en-US" w:bidi="en-US"/>
        </w:rPr>
        <w:t>Postgraduate Lviv Academy of Commerce Lviv, st. Tugan-Baranovsky, 10, 79005,</w:t>
      </w:r>
    </w:p>
    <w:p w:rsidR="009D2C52" w:rsidRDefault="000B1DC4">
      <w:pPr>
        <w:pStyle w:val="a5"/>
        <w:framePr w:w="9960" w:h="13570" w:hRule="exact" w:wrap="around" w:vAnchor="page" w:hAnchor="page" w:x="981" w:y="1454"/>
        <w:shd w:val="clear" w:color="auto" w:fill="auto"/>
        <w:spacing w:after="171"/>
      </w:pPr>
      <w:r>
        <w:rPr>
          <w:lang w:val="en-US" w:eastAsia="en-US" w:bidi="en-US"/>
        </w:rPr>
        <w:t xml:space="preserve">8 (032) 275-68-66, </w:t>
      </w:r>
      <w:hyperlink r:id="rId8" w:history="1">
        <w:r>
          <w:rPr>
            <w:rStyle w:val="a3"/>
            <w:lang w:val="en-US" w:eastAsia="en-US" w:bidi="en-US"/>
          </w:rPr>
          <w:t>davudyl@rambler.ru</w:t>
        </w:r>
      </w:hyperlink>
    </w:p>
    <w:p w:rsidR="009D2C52" w:rsidRDefault="000B1DC4">
      <w:pPr>
        <w:pStyle w:val="20"/>
        <w:framePr w:w="9960" w:h="13570" w:hRule="exact" w:wrap="around" w:vAnchor="page" w:hAnchor="page" w:x="981" w:y="1454"/>
        <w:shd w:val="clear" w:color="auto" w:fill="auto"/>
        <w:spacing w:after="73" w:line="210" w:lineRule="exact"/>
        <w:jc w:val="center"/>
      </w:pPr>
      <w:r>
        <w:rPr>
          <w:lang w:val="en-US" w:eastAsia="en-US" w:bidi="en-US"/>
        </w:rPr>
        <w:t>THE ROLE OF BANK INVESTMENT LENDING</w:t>
      </w:r>
      <w:r>
        <w:rPr>
          <w:lang w:val="en-US" w:eastAsia="en-US" w:bidi="en-US"/>
        </w:rPr>
        <w:t xml:space="preserve"> IN THE FINANCING OF SAVING</w:t>
      </w:r>
    </w:p>
    <w:p w:rsidR="009D2C52" w:rsidRDefault="000B1DC4">
      <w:pPr>
        <w:pStyle w:val="20"/>
        <w:framePr w:w="9960" w:h="13570" w:hRule="exact" w:wrap="around" w:vAnchor="page" w:hAnchor="page" w:x="981" w:y="1454"/>
        <w:shd w:val="clear" w:color="auto" w:fill="auto"/>
        <w:spacing w:after="97" w:line="210" w:lineRule="exact"/>
        <w:jc w:val="center"/>
      </w:pPr>
      <w:r>
        <w:rPr>
          <w:lang w:val="en-US" w:eastAsia="en-US" w:bidi="en-US"/>
        </w:rPr>
        <w:t>MEASURES POPULATION</w:t>
      </w:r>
    </w:p>
    <w:p w:rsidR="009D2C52" w:rsidRDefault="000B1DC4">
      <w:pPr>
        <w:pStyle w:val="30"/>
        <w:framePr w:w="9960" w:h="13570" w:hRule="exact" w:wrap="around" w:vAnchor="page" w:hAnchor="page" w:x="981" w:y="1454"/>
        <w:shd w:val="clear" w:color="auto" w:fill="auto"/>
        <w:spacing w:before="0"/>
      </w:pPr>
      <w:r>
        <w:t>Annotation</w:t>
      </w:r>
    </w:p>
    <w:p w:rsidR="009D2C52" w:rsidRDefault="000B1DC4">
      <w:pPr>
        <w:pStyle w:val="40"/>
        <w:framePr w:w="9960" w:h="13570" w:hRule="exact" w:wrap="around" w:vAnchor="page" w:hAnchor="page" w:x="981" w:y="1454"/>
        <w:shd w:val="clear" w:color="auto" w:fill="auto"/>
        <w:ind w:left="20" w:right="20"/>
      </w:pPr>
      <w:r>
        <w:rPr>
          <w:lang w:val="en-US" w:eastAsia="en-US" w:bidi="en-US"/>
        </w:rPr>
        <w:t>The article aims to define the role of bank lending Investment saving measures population and its impact on economic growth, Lviv region.</w:t>
      </w:r>
    </w:p>
    <w:p w:rsidR="009D2C52" w:rsidRDefault="000B1DC4">
      <w:pPr>
        <w:pStyle w:val="a7"/>
        <w:framePr w:wrap="around" w:vAnchor="page" w:hAnchor="page" w:x="981" w:y="15649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68</w:t>
      </w:r>
    </w:p>
    <w:p w:rsidR="009D2C52" w:rsidRDefault="009D2C52">
      <w:pPr>
        <w:rPr>
          <w:sz w:val="2"/>
          <w:szCs w:val="2"/>
        </w:rPr>
        <w:sectPr w:rsidR="009D2C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2C52" w:rsidRDefault="000B1DC4">
      <w:pPr>
        <w:pStyle w:val="40"/>
        <w:framePr w:w="9950" w:h="13674" w:hRule="exact" w:wrap="around" w:vAnchor="page" w:hAnchor="page" w:x="986" w:y="1148"/>
        <w:shd w:val="clear" w:color="auto" w:fill="auto"/>
        <w:spacing w:line="230" w:lineRule="exact"/>
        <w:ind w:left="20" w:right="20"/>
      </w:pPr>
      <w:r>
        <w:rPr>
          <w:lang w:val="en-US" w:eastAsia="en-US" w:bidi="en-US"/>
        </w:rPr>
        <w:lastRenderedPageBreak/>
        <w:t>In the process of solving problems</w:t>
      </w:r>
      <w:r>
        <w:rPr>
          <w:lang w:val="en-US" w:eastAsia="en-US" w:bidi="en-US"/>
        </w:rPr>
        <w:t xml:space="preserve"> used in the method of analysis and synthesis, comparative and factor analysis, specification, logical, analytical and statistical methods.</w:t>
      </w:r>
    </w:p>
    <w:p w:rsidR="009D2C52" w:rsidRDefault="000B1DC4">
      <w:pPr>
        <w:pStyle w:val="40"/>
        <w:framePr w:w="9950" w:h="13674" w:hRule="exact" w:wrap="around" w:vAnchor="page" w:hAnchor="page" w:x="986" w:y="1148"/>
        <w:shd w:val="clear" w:color="auto" w:fill="auto"/>
        <w:spacing w:line="230" w:lineRule="exact"/>
        <w:ind w:left="20" w:right="20"/>
      </w:pPr>
      <w:r>
        <w:rPr>
          <w:lang w:val="en-US" w:eastAsia="en-US" w:bidi="en-US"/>
        </w:rPr>
        <w:t>The study identified the key role of bank investment loan in the program of energy conservation and population vyokr</w:t>
      </w:r>
      <w:r>
        <w:rPr>
          <w:lang w:val="en-US" w:eastAsia="en-US" w:bidi="en-US"/>
        </w:rPr>
        <w:t>esleno its socio-economic importance.</w:t>
      </w:r>
    </w:p>
    <w:p w:rsidR="009D2C52" w:rsidRDefault="000B1DC4">
      <w:pPr>
        <w:pStyle w:val="40"/>
        <w:framePr w:w="9950" w:h="13674" w:hRule="exact" w:wrap="around" w:vAnchor="page" w:hAnchor="page" w:x="986" w:y="1148"/>
        <w:shd w:val="clear" w:color="auto" w:fill="auto"/>
        <w:spacing w:line="230" w:lineRule="exact"/>
        <w:ind w:left="20" w:right="20"/>
      </w:pPr>
      <w:r>
        <w:rPr>
          <w:lang w:val="en-US" w:eastAsia="en-US" w:bidi="en-US"/>
        </w:rPr>
        <w:t>Scientific innovation is to distinguish investment bank loan in energy as the driving force to raise the economic and energy potential of the state and reduce energy costs.</w:t>
      </w:r>
    </w:p>
    <w:p w:rsidR="009D2C52" w:rsidRDefault="000B1DC4">
      <w:pPr>
        <w:pStyle w:val="40"/>
        <w:framePr w:w="9950" w:h="13674" w:hRule="exact" w:wrap="around" w:vAnchor="page" w:hAnchor="page" w:x="986" w:y="1148"/>
        <w:shd w:val="clear" w:color="auto" w:fill="auto"/>
        <w:spacing w:line="230" w:lineRule="exact"/>
        <w:ind w:left="20" w:right="20"/>
      </w:pPr>
      <w:r>
        <w:rPr>
          <w:lang w:val="en-US" w:eastAsia="en-US" w:bidi="en-US"/>
        </w:rPr>
        <w:t>The practical significance highlighted in the</w:t>
      </w:r>
      <w:r>
        <w:rPr>
          <w:lang w:val="en-US" w:eastAsia="en-US" w:bidi="en-US"/>
        </w:rPr>
        <w:t xml:space="preserve"> display lending efficiency energy-saving measures Program in Lviv region and has considerable economic potential development and implementation in Ukraine.</w:t>
      </w:r>
    </w:p>
    <w:p w:rsidR="009D2C52" w:rsidRDefault="000B1DC4">
      <w:pPr>
        <w:pStyle w:val="40"/>
        <w:framePr w:w="9950" w:h="13674" w:hRule="exact" w:wrap="around" w:vAnchor="page" w:hAnchor="page" w:x="986" w:y="1148"/>
        <w:shd w:val="clear" w:color="auto" w:fill="auto"/>
        <w:spacing w:line="230" w:lineRule="exact"/>
        <w:ind w:left="20"/>
      </w:pPr>
      <w:r>
        <w:rPr>
          <w:lang w:val="en-US" w:eastAsia="en-US" w:bidi="en-US"/>
        </w:rPr>
        <w:t>Credit, investment project, the energy crisis, economic growth, energy saving, energy resources.</w:t>
      </w:r>
    </w:p>
    <w:p w:rsidR="009D2C52" w:rsidRDefault="000B1DC4">
      <w:pPr>
        <w:pStyle w:val="30"/>
        <w:framePr w:w="9950" w:h="13674" w:hRule="exact" w:wrap="around" w:vAnchor="page" w:hAnchor="page" w:x="986" w:y="1148"/>
        <w:shd w:val="clear" w:color="auto" w:fill="auto"/>
        <w:spacing w:before="0" w:after="206" w:line="230" w:lineRule="exact"/>
        <w:ind w:left="20" w:firstLine="560"/>
        <w:jc w:val="both"/>
      </w:pPr>
      <w:r>
        <w:t>JE</w:t>
      </w:r>
      <w:r>
        <w:t>L classification: A 230, E 510, G 210, Q 320, Q 430.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rPr>
          <w:rStyle w:val="a8"/>
        </w:rPr>
        <w:t xml:space="preserve">Постановка проблеми. </w:t>
      </w:r>
      <w:r>
        <w:t xml:space="preserve">Останні економіко-політичні події диктують свої умови розвитку економічних процесів в Україні, які відбуваються на фоні поглиблення кризових явищ у фінансовому та господарському </w:t>
      </w:r>
      <w:r>
        <w:t>секторах та розгортання енергетичної кризи, яка супроводжується загрозою енергетичної безпеки України. Тому сьогодні вирішення таких проблем є нагальним, а одним із найефективніших шляхів подолання енергетичної небезпеки держави є банківське інвестиційне к</w:t>
      </w:r>
      <w:r>
        <w:t>редитування у вигляді фінансування цільових програм енергозбереження. У зв’язку з цим набувають актуального значення дослідження ролі банківського інвестиційного кредитування в реалізації програм енергозбереження для населення та підприємств.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rPr>
          <w:rStyle w:val="a8"/>
        </w:rPr>
        <w:t xml:space="preserve">Аналіз останніх досліджень і публікацій. </w:t>
      </w:r>
      <w:r>
        <w:t>Різноманітні підходи до вивчення та аналізу теоретичних та практичних аспектів функціонування ефективних енергозберігаючих заходів населення та підприємств досліджуються в наукових працях вітчизняних та зарубіжних у</w:t>
      </w:r>
      <w:r>
        <w:t>чених та фахівців. Питання реалізації енергозберігаючих технологій в житлово-комунальному господарстві розглядаються в працях В.М. Лисюка [1], В.А. Маляренко [2], В.І. Тітяєва [3]. У сучасній економічній літературі, присвяченій цій темі, значний науковий в</w:t>
      </w:r>
      <w:r>
        <w:t>несок у дослідження проблеми енергозбереження зробили такі вчені як О. Возняк [4], Довбуш О. [5], Г. Копець [6], Г. Онищук [7], Т. Качала [8] та ін.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t>Водночас недостатньо дослідженими залишається питання фінансування енергозберігаючих заходів, зокрема за до</w:t>
      </w:r>
      <w:r>
        <w:t>помогою банківського кредитування, яке в умовах кризового дефіциту фінансових ресурсів може забезпечити повноцінне функціонування програм енергозбереження населення на всій території України.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rPr>
          <w:rStyle w:val="a8"/>
        </w:rPr>
        <w:t xml:space="preserve">Постановка завдання. </w:t>
      </w:r>
      <w:r>
        <w:t>Метою статті є з’ясування ролі банківського</w:t>
      </w:r>
      <w:r>
        <w:t xml:space="preserve"> інвестиційного кредитування в реалізації енергозберігаючих заходів населення та його вплив на економічне зростання Львівської області.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t>Завданнями є: визначення доцільності розробки та реалізації Програми енергозбереження, відображення системи фінансування</w:t>
      </w:r>
      <w:r>
        <w:t xml:space="preserve"> енергоощадних заходів населення за рахунок банківських кредитів, аналіз динаміки обсягів та кількості виданих інвестиційних банківських кредитів в рамках Програми енергозбереження та визначення основних напрямів розвитку банківського інвестиційного кредит</w:t>
      </w:r>
      <w:r>
        <w:t>ування у реалізації енергоощадних заходів населення.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t>Об’ єктом дослідження є процеси банківського інвестиційного кредитування енергоощадних заходів населення.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t xml:space="preserve">Предметом дослідження є теоретичні та практичні аспекти банківського кредитування інвестиційного </w:t>
      </w:r>
      <w:r>
        <w:t>проекту енергозбереження населення Львівської області та роль реалізації Програми енергозбереження у економічному зростанні регіону та зниженні енерговитрат населення.</w:t>
      </w:r>
    </w:p>
    <w:p w:rsidR="009D2C52" w:rsidRDefault="000B1DC4">
      <w:pPr>
        <w:pStyle w:val="a5"/>
        <w:framePr w:w="9950" w:h="13674" w:hRule="exact" w:wrap="around" w:vAnchor="page" w:hAnchor="page" w:x="986" w:y="1148"/>
        <w:shd w:val="clear" w:color="auto" w:fill="auto"/>
        <w:ind w:left="20" w:right="20" w:firstLine="560"/>
        <w:jc w:val="both"/>
      </w:pPr>
      <w:r>
        <w:rPr>
          <w:rStyle w:val="a8"/>
        </w:rPr>
        <w:t xml:space="preserve">Виклад основного матеріалу дослідження. </w:t>
      </w:r>
      <w:r>
        <w:t>Характеризуючи галузь енергетичного забезпечення</w:t>
      </w:r>
      <w:r>
        <w:t>, необхідно відзначити, що з метою опалення у світі споживається понад 40% всіх енергоресурсів. Проблема України в тому, що при дотриманні світових пропорцій ефективність енергетичного забезпечення залишається вкрай низькою. Це стосується населення, заклад</w:t>
      </w:r>
      <w:r>
        <w:t>ів бюджетної сфери, комунальної енергетики та теплогенерації [9, с.3].</w:t>
      </w:r>
    </w:p>
    <w:p w:rsidR="009D2C52" w:rsidRDefault="000B1DC4">
      <w:pPr>
        <w:pStyle w:val="a7"/>
        <w:framePr w:wrap="around" w:vAnchor="page" w:hAnchor="page" w:x="967" w:y="15673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ISSN</w:t>
      </w:r>
      <w:r w:rsidRPr="00CD7A92">
        <w:rPr>
          <w:lang w:eastAsia="en-US" w:bidi="en-US"/>
        </w:rPr>
        <w:t xml:space="preserve"> </w:t>
      </w:r>
      <w:r>
        <w:t>1818-2682. Наука молода, 2015 рік. № 22</w:t>
      </w:r>
    </w:p>
    <w:p w:rsidR="009D2C52" w:rsidRDefault="000B1DC4">
      <w:pPr>
        <w:pStyle w:val="a7"/>
        <w:framePr w:wrap="around" w:vAnchor="page" w:hAnchor="page" w:x="10687" w:y="15677"/>
        <w:shd w:val="clear" w:color="auto" w:fill="auto"/>
        <w:spacing w:line="170" w:lineRule="exact"/>
        <w:ind w:left="20"/>
      </w:pPr>
      <w:r>
        <w:t>69</w:t>
      </w:r>
    </w:p>
    <w:p w:rsidR="009D2C52" w:rsidRDefault="009D2C52">
      <w:pPr>
        <w:rPr>
          <w:sz w:val="2"/>
          <w:szCs w:val="2"/>
        </w:rPr>
        <w:sectPr w:rsidR="009D2C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2C52" w:rsidRDefault="009D2C52">
      <w:pPr>
        <w:rPr>
          <w:sz w:val="2"/>
          <w:szCs w:val="2"/>
        </w:rPr>
      </w:pPr>
      <w:r w:rsidRPr="009D2C52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24.8pt;margin-top:477.45pt;width:126.25pt;height:0;z-index:-25166489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44" type="#_x0000_t32" style="position:absolute;margin-left:224.8pt;margin-top:477.45pt;width:0;height:27.35pt;z-index:-25166387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43" type="#_x0000_t32" style="position:absolute;margin-left:224.8pt;margin-top:504.8pt;width:126.25pt;height:0;z-index:-25166284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42" type="#_x0000_t32" style="position:absolute;margin-left:351.05pt;margin-top:477.45pt;width:0;height:27.35pt;z-index:-25166182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41" type="#_x0000_t32" style="position:absolute;margin-left:224.8pt;margin-top:595.5pt;width:126.25pt;height:0;z-index:-25166080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40" type="#_x0000_t32" style="position:absolute;margin-left:224.8pt;margin-top:595.5pt;width:0;height:27.15pt;z-index:-25165977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39" type="#_x0000_t32" style="position:absolute;margin-left:224.8pt;margin-top:622.65pt;width:126.25pt;height:0;z-index:-25165875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38" type="#_x0000_t32" style="position:absolute;margin-left:351.05pt;margin-top:595.5pt;width:0;height:27.15pt;z-index:-25165772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37" type="#_x0000_t32" style="position:absolute;margin-left:395.9pt;margin-top:541.5pt;width:128.2pt;height:0;z-index:-25165670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36" type="#_x0000_t32" style="position:absolute;margin-left:395.9pt;margin-top:541.5pt;width:0;height:27.15pt;z-index:-25165568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35" type="#_x0000_t32" style="position:absolute;margin-left:395.9pt;margin-top:568.65pt;width:128.2pt;height:0;z-index:-25165465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34" type="#_x0000_t32" style="position:absolute;margin-left:524.1pt;margin-top:541.5pt;width:0;height:27.15pt;z-index:-25165363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9D2C52">
        <w:pict>
          <v:shape id="_x0000_s1033" type="#_x0000_t32" style="position:absolute;margin-left:226.25pt;margin-top:567.7pt;width:121.45pt;height:0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9D2C52" w:rsidRDefault="000B1DC4">
      <w:pPr>
        <w:pStyle w:val="a5"/>
        <w:framePr w:w="9936" w:h="8059" w:hRule="exact" w:wrap="around" w:vAnchor="page" w:hAnchor="page" w:x="993" w:y="1243"/>
        <w:shd w:val="clear" w:color="auto" w:fill="auto"/>
        <w:ind w:left="20" w:right="20" w:firstLine="560"/>
        <w:jc w:val="both"/>
      </w:pPr>
      <w:r>
        <w:t>Питання зниження рівня енерговитрат загалом потребує нагального вирішення у рамках використання всьог</w:t>
      </w:r>
      <w:r>
        <w:t xml:space="preserve">о комплексу ефективних заходів, що скеровані на зниження використання енергії на виробництво продукції. Однією із прогресивних методик впровадження виваженої енергозберігаючої політики є кредитування енергоощадних заходів населення фінансовими установами. </w:t>
      </w:r>
      <w:r>
        <w:t>Сьогодні весь комплекс цільової енергоощадної політики активно функціонує завдяки розробленої з 2006 року та досі діючої Програми енергозбереження для населення у Львівській області.</w:t>
      </w:r>
    </w:p>
    <w:p w:rsidR="009D2C52" w:rsidRDefault="000B1DC4">
      <w:pPr>
        <w:pStyle w:val="a5"/>
        <w:framePr w:w="9936" w:h="8059" w:hRule="exact" w:wrap="around" w:vAnchor="page" w:hAnchor="page" w:x="993" w:y="1243"/>
        <w:shd w:val="clear" w:color="auto" w:fill="auto"/>
        <w:ind w:left="20" w:right="20" w:firstLine="560"/>
        <w:jc w:val="both"/>
      </w:pPr>
      <w:r>
        <w:t>Основним інструментом фінансування такої програми є кредит. Кредити надаю</w:t>
      </w:r>
      <w:r>
        <w:t>ться банківськими установами та кредитними спілками. З початку дії Програми коло активних її операторів постійно змінювалось, проте лідерами серед банківських установ залишалися ПАТ «Банк Львів» та АТ «Державний ощадний банк». Такого роду кредитування є ін</w:t>
      </w:r>
      <w:r>
        <w:t>вестиційним, так як ця Програма є інвестиційним проектом Львівської обласної державної адміністрації. В ході реалізації Програми дефіцит фінансових ресурсів для проведення енергоощадних заходів, вирішується за допомогою інвестиційних кредитів, які можуть з</w:t>
      </w:r>
      <w:r>
        <w:t>а певних умов надаватися за нульовою ставкою. Тобто функціонує певна ланцюгова схема, усі учасники якої мають змогу задовольнити свої інтереси за допомогою її ефективного механізму.</w:t>
      </w:r>
    </w:p>
    <w:p w:rsidR="009D2C52" w:rsidRDefault="000B1DC4">
      <w:pPr>
        <w:pStyle w:val="a5"/>
        <w:framePr w:w="9936" w:h="8059" w:hRule="exact" w:wrap="around" w:vAnchor="page" w:hAnchor="page" w:x="993" w:y="1243"/>
        <w:shd w:val="clear" w:color="auto" w:fill="auto"/>
        <w:ind w:left="20" w:firstLine="560"/>
        <w:jc w:val="both"/>
      </w:pPr>
      <w:r>
        <w:t>Схема функціонування програми енергозбереження населення подана на рис.1.</w:t>
      </w:r>
    </w:p>
    <w:p w:rsidR="009D2C52" w:rsidRDefault="000B1DC4">
      <w:pPr>
        <w:pStyle w:val="a5"/>
        <w:framePr w:w="9936" w:h="8059" w:hRule="exact" w:wrap="around" w:vAnchor="page" w:hAnchor="page" w:x="993" w:y="1243"/>
        <w:shd w:val="clear" w:color="auto" w:fill="auto"/>
        <w:ind w:left="20" w:right="20" w:firstLine="560"/>
        <w:jc w:val="both"/>
      </w:pPr>
      <w:r>
        <w:t>Отже, як видно з рис. 1, Програма енергозбереження має значний економічний та енергоефективний потенціал. Усі задіяні учасники задовольняють свої інтереси у ланцюговому порядку. Населення, з метою економії витрат ресурсів та зниження енерговитрат, здійснюю</w:t>
      </w:r>
      <w:r>
        <w:t>ть закупівлю енергоощадної продукції та устаткувань. Таким чином, це збільшує товарооборот бізнесу у цій сфері і, як наслідок, відповідно збільшуються надходження у місцевий та державний бюджети. За умов розширення виробництва та обсягів продажів, створюют</w:t>
      </w:r>
      <w:r>
        <w:t>ься нові робочі місця на підприємствах, що здійснюють свою діяльність у сфері енергоефективного виробництва та реконструкції, тобто має місце підвищення рівня зайнятості, що також здійснює свій позитивний економічний вплив. Можна вважати, що Програма енерг</w:t>
      </w:r>
      <w:r>
        <w:t>озбереження ефективна не лише у регіональних рамках, але й здійснює свій макроекономічний ефект, через зменшення споживання газу населенням та зниження обсягу субсидій для населення за спожиті енергоносії.</w:t>
      </w:r>
    </w:p>
    <w:p w:rsidR="009D2C52" w:rsidRDefault="000B1DC4">
      <w:pPr>
        <w:framePr w:wrap="none" w:vAnchor="page" w:hAnchor="page" w:x="1439" w:y="988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74.25pt">
            <v:imagedata r:id="rId9" r:href="rId10"/>
          </v:shape>
        </w:pict>
      </w:r>
    </w:p>
    <w:p w:rsidR="009D2C52" w:rsidRDefault="000B1DC4">
      <w:pPr>
        <w:pStyle w:val="20"/>
        <w:framePr w:wrap="around" w:vAnchor="page" w:hAnchor="page" w:x="4723" w:y="9641"/>
        <w:shd w:val="clear" w:color="auto" w:fill="auto"/>
        <w:spacing w:after="0" w:line="210" w:lineRule="exact"/>
      </w:pPr>
      <w:r>
        <w:t>Місцевий бюджет</w:t>
      </w:r>
    </w:p>
    <w:p w:rsidR="009D2C52" w:rsidRDefault="000B1DC4">
      <w:pPr>
        <w:pStyle w:val="20"/>
        <w:framePr w:w="1382" w:h="551" w:hRule="exact" w:wrap="around" w:vAnchor="page" w:hAnchor="page" w:x="5049" w:y="10759"/>
        <w:shd w:val="clear" w:color="auto" w:fill="auto"/>
        <w:spacing w:after="13" w:line="210" w:lineRule="exact"/>
      </w:pPr>
      <w:r>
        <w:t>Державний</w:t>
      </w:r>
    </w:p>
    <w:p w:rsidR="009D2C52" w:rsidRDefault="000B1DC4">
      <w:pPr>
        <w:pStyle w:val="20"/>
        <w:framePr w:w="1382" w:h="551" w:hRule="exact" w:wrap="around" w:vAnchor="page" w:hAnchor="page" w:x="5049" w:y="10759"/>
        <w:shd w:val="clear" w:color="auto" w:fill="auto"/>
        <w:spacing w:after="0" w:line="210" w:lineRule="exact"/>
        <w:ind w:left="220"/>
      </w:pPr>
      <w:r>
        <w:t>бюджет</w:t>
      </w:r>
    </w:p>
    <w:p w:rsidR="009D2C52" w:rsidRDefault="000B1DC4">
      <w:pPr>
        <w:framePr w:wrap="none" w:vAnchor="page" w:hAnchor="page" w:x="2342" w:y="11489"/>
        <w:rPr>
          <w:sz w:val="2"/>
          <w:szCs w:val="2"/>
        </w:rPr>
      </w:pPr>
      <w:r>
        <w:pict>
          <v:shape id="_x0000_i1026" type="#_x0000_t75" style="width:104.25pt;height:44.25pt">
            <v:imagedata r:id="rId11" r:href="rId12"/>
          </v:shape>
        </w:pict>
      </w:r>
    </w:p>
    <w:p w:rsidR="009D2C52" w:rsidRDefault="000B1DC4">
      <w:pPr>
        <w:framePr w:wrap="none" w:vAnchor="page" w:hAnchor="page" w:x="7094" w:y="9809"/>
        <w:rPr>
          <w:sz w:val="2"/>
          <w:szCs w:val="2"/>
        </w:rPr>
      </w:pPr>
      <w:r>
        <w:pict>
          <v:shape id="_x0000_i1027" type="#_x0000_t75" style="width:104.25pt;height:44.25pt">
            <v:imagedata r:id="rId13" r:href="rId14"/>
          </v:shape>
        </w:pict>
      </w:r>
    </w:p>
    <w:p w:rsidR="009D2C52" w:rsidRDefault="000B1DC4">
      <w:pPr>
        <w:pStyle w:val="20"/>
        <w:framePr w:w="3178" w:h="283" w:hRule="exact" w:wrap="around" w:vAnchor="page" w:hAnchor="page" w:x="7089" w:y="109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10" w:lineRule="exact"/>
        <w:jc w:val="right"/>
      </w:pPr>
      <w:r>
        <w:t>Фінансові установи</w:t>
      </w:r>
    </w:p>
    <w:p w:rsidR="009D2C52" w:rsidRDefault="000B1DC4">
      <w:pPr>
        <w:pStyle w:val="20"/>
        <w:framePr w:w="9922" w:h="272" w:hRule="exact" w:wrap="around" w:vAnchor="page" w:hAnchor="page" w:x="1003" w:y="12012"/>
        <w:shd w:val="clear" w:color="auto" w:fill="auto"/>
        <w:spacing w:after="0" w:line="210" w:lineRule="exact"/>
        <w:ind w:left="3902" w:right="4301"/>
        <w:jc w:val="center"/>
      </w:pPr>
      <w:r>
        <w:t>НАСЕЛЕННЯ</w:t>
      </w:r>
    </w:p>
    <w:p w:rsidR="009D2C52" w:rsidRDefault="000B1DC4">
      <w:pPr>
        <w:framePr w:wrap="none" w:vAnchor="page" w:hAnchor="page" w:x="7199" w:y="11431"/>
        <w:rPr>
          <w:sz w:val="2"/>
          <w:szCs w:val="2"/>
        </w:rPr>
      </w:pPr>
      <w:r>
        <w:pict>
          <v:shape id="_x0000_i1028" type="#_x0000_t75" style="width:104.25pt;height:42.75pt">
            <v:imagedata r:id="rId15" r:href="rId16"/>
          </v:shape>
        </w:pict>
      </w:r>
    </w:p>
    <w:p w:rsidR="009D2C52" w:rsidRDefault="000B1DC4">
      <w:pPr>
        <w:pStyle w:val="20"/>
        <w:framePr w:w="9922" w:h="2215" w:hRule="exact" w:wrap="around" w:vAnchor="page" w:hAnchor="page" w:x="1003" w:y="12742"/>
        <w:shd w:val="clear" w:color="auto" w:fill="auto"/>
        <w:spacing w:after="23" w:line="210" w:lineRule="exact"/>
        <w:jc w:val="center"/>
      </w:pPr>
      <w:r>
        <w:t xml:space="preserve">Рис. 1 Схема </w:t>
      </w:r>
      <w:r>
        <w:t>функціонування програми енергозбереження населення</w:t>
      </w:r>
    </w:p>
    <w:p w:rsidR="009D2C52" w:rsidRDefault="000B1DC4">
      <w:pPr>
        <w:pStyle w:val="a5"/>
        <w:framePr w:w="9922" w:h="2215" w:hRule="exact" w:wrap="around" w:vAnchor="page" w:hAnchor="page" w:x="1003" w:y="12742"/>
        <w:shd w:val="clear" w:color="auto" w:fill="auto"/>
        <w:spacing w:after="207" w:line="210" w:lineRule="exact"/>
        <w:ind w:left="20" w:firstLine="560"/>
        <w:jc w:val="both"/>
      </w:pPr>
      <w:r>
        <w:t>Джерело: складено на основі [9]</w:t>
      </w:r>
    </w:p>
    <w:p w:rsidR="009D2C52" w:rsidRDefault="000B1DC4">
      <w:pPr>
        <w:pStyle w:val="a5"/>
        <w:framePr w:w="9922" w:h="2215" w:hRule="exact" w:wrap="around" w:vAnchor="page" w:hAnchor="page" w:x="1003" w:y="12742"/>
        <w:shd w:val="clear" w:color="auto" w:fill="auto"/>
        <w:tabs>
          <w:tab w:val="left" w:pos="3279"/>
        </w:tabs>
        <w:ind w:left="20" w:firstLine="560"/>
        <w:jc w:val="both"/>
      </w:pPr>
      <w:r>
        <w:t>Фінансові установи, у свою чергу, також мають комерційну вигоду і зацікавленість у кредитуванні таких інвестиційних проектів, тому активно підтримують співпрацю із місцевими</w:t>
      </w:r>
      <w:r>
        <w:t xml:space="preserve"> органами влади. На рис.</w:t>
      </w:r>
      <w:r>
        <w:tab/>
        <w:t>2 відображено обсяги виданих кредитів за Програмою</w:t>
      </w:r>
    </w:p>
    <w:p w:rsidR="009D2C52" w:rsidRDefault="000B1DC4">
      <w:pPr>
        <w:pStyle w:val="a5"/>
        <w:framePr w:w="9922" w:h="2215" w:hRule="exact" w:wrap="around" w:vAnchor="page" w:hAnchor="page" w:x="1003" w:y="12742"/>
        <w:shd w:val="clear" w:color="auto" w:fill="auto"/>
        <w:ind w:left="20"/>
        <w:jc w:val="both"/>
      </w:pPr>
      <w:r>
        <w:t>енергозбереження фінансовими установами Львівщини упродовж періоду активного кредитування, а саме 2007-2014рр.</w:t>
      </w:r>
    </w:p>
    <w:p w:rsidR="009D2C52" w:rsidRDefault="000B1DC4">
      <w:pPr>
        <w:pStyle w:val="a7"/>
        <w:framePr w:wrap="around" w:vAnchor="page" w:hAnchor="page" w:x="974" w:y="15721"/>
        <w:shd w:val="clear" w:color="auto" w:fill="auto"/>
        <w:spacing w:line="170" w:lineRule="exact"/>
        <w:ind w:left="20"/>
      </w:pPr>
      <w:r>
        <w:t>70</w:t>
      </w:r>
    </w:p>
    <w:p w:rsidR="009D2C52" w:rsidRDefault="009D2C52">
      <w:pPr>
        <w:rPr>
          <w:sz w:val="2"/>
          <w:szCs w:val="2"/>
        </w:rPr>
        <w:sectPr w:rsidR="009D2C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2C52" w:rsidRDefault="000B1DC4">
      <w:pPr>
        <w:framePr w:wrap="none" w:vAnchor="page" w:hAnchor="page" w:x="1640" w:y="1232"/>
        <w:rPr>
          <w:sz w:val="2"/>
          <w:szCs w:val="2"/>
        </w:rPr>
      </w:pPr>
      <w:r>
        <w:pict>
          <v:shape id="_x0000_i1029" type="#_x0000_t75" style="width:456pt;height:159pt">
            <v:imagedata r:id="rId17" r:href="rId18"/>
          </v:shape>
        </w:pict>
      </w:r>
    </w:p>
    <w:p w:rsidR="009D2C52" w:rsidRDefault="000B1DC4">
      <w:pPr>
        <w:pStyle w:val="aa"/>
        <w:framePr w:w="8952" w:h="884" w:hRule="exact" w:wrap="around" w:vAnchor="page" w:hAnchor="page" w:x="1496" w:y="4454"/>
        <w:shd w:val="clear" w:color="auto" w:fill="auto"/>
      </w:pPr>
      <w:r>
        <w:t>Рис. 2 Обсяг виданих кредитів населенню фінансовими установами Львівщини за Програмою енергозбереження протягом періоду 2007-2014 рр.</w:t>
      </w:r>
    </w:p>
    <w:p w:rsidR="009D2C52" w:rsidRDefault="000B1DC4">
      <w:pPr>
        <w:pStyle w:val="22"/>
        <w:framePr w:w="8952" w:h="884" w:hRule="exact" w:wrap="around" w:vAnchor="page" w:hAnchor="page" w:x="1496" w:y="4454"/>
        <w:shd w:val="clear" w:color="auto" w:fill="auto"/>
        <w:ind w:left="80"/>
      </w:pPr>
      <w:r>
        <w:t>Дж</w:t>
      </w:r>
      <w:r>
        <w:t>ерело: складено на основі [9]</w:t>
      </w:r>
    </w:p>
    <w:p w:rsidR="009D2C52" w:rsidRDefault="000B1DC4">
      <w:pPr>
        <w:pStyle w:val="a5"/>
        <w:framePr w:w="9931" w:h="4992" w:hRule="exact" w:wrap="around" w:vAnchor="page" w:hAnchor="page" w:x="1007" w:y="5554"/>
        <w:shd w:val="clear" w:color="auto" w:fill="auto"/>
        <w:ind w:left="20" w:right="20" w:firstLine="540"/>
        <w:jc w:val="both"/>
      </w:pPr>
      <w:r>
        <w:t>Як видно із рис. 2 упродовж 2007-2014рр. спостерігається приріст як і обсягів наданих кредитів, так і їх кількості. Зокрема, такого роду кредитуванням скористалося 11 517 родин. Загальна сума виданих кредитів становить 98,1 мл</w:t>
      </w:r>
      <w:r>
        <w:t xml:space="preserve">н.грн. Із обласного бюджету відшкодовано 11,6 млн.грн. Окрім цього в розвиток цього напрямку, з метою виходу на нульову відсоткову ставку за кредитами, окремими райдержадміністраціями області ініційовано виділення додаткових фінансових ресурсів з місцевих </w:t>
      </w:r>
      <w:r>
        <w:t>бюджетів на кредитування населення, а саме: Городоцькою, Мостиською, Дрогобицькою райдержадміністраціями, запроваджено додаткове фінансування з місцевого бюджету для відшкодування 10% річних відсоткової ставки для мешканців даної території, а також 7% Самб</w:t>
      </w:r>
      <w:r>
        <w:t>ірською райдержадміністрацією.</w:t>
      </w:r>
    </w:p>
    <w:p w:rsidR="009D2C52" w:rsidRDefault="000B1DC4">
      <w:pPr>
        <w:pStyle w:val="a5"/>
        <w:framePr w:w="9931" w:h="4992" w:hRule="exact" w:wrap="around" w:vAnchor="page" w:hAnchor="page" w:x="1007" w:y="5554"/>
        <w:shd w:val="clear" w:color="auto" w:fill="auto"/>
        <w:ind w:left="20" w:right="20" w:firstLine="540"/>
        <w:jc w:val="both"/>
      </w:pPr>
      <w:r>
        <w:t xml:space="preserve">Упродовж 2014 року продовжувалося кредитування населення на впровадження енергозберігаючих заходів за Програмою енергозбереження для населення Львівщини на </w:t>
      </w:r>
      <w:r w:rsidRPr="00CD7A92">
        <w:rPr>
          <w:lang w:val="ru-RU" w:eastAsia="en-US" w:bidi="en-US"/>
        </w:rPr>
        <w:t>2013</w:t>
      </w:r>
      <w:r w:rsidRPr="00CD7A92">
        <w:rPr>
          <w:lang w:val="ru-RU" w:eastAsia="en-US" w:bidi="en-US"/>
        </w:rPr>
        <w:softHyphen/>
        <w:t>2016</w:t>
      </w:r>
      <w:r>
        <w:t xml:space="preserve"> роки.</w:t>
      </w:r>
    </w:p>
    <w:p w:rsidR="009D2C52" w:rsidRDefault="000B1DC4">
      <w:pPr>
        <w:pStyle w:val="a5"/>
        <w:framePr w:w="9931" w:h="4992" w:hRule="exact" w:wrap="around" w:vAnchor="page" w:hAnchor="page" w:x="1007" w:y="5554"/>
        <w:shd w:val="clear" w:color="auto" w:fill="auto"/>
        <w:ind w:left="20" w:right="20" w:firstLine="540"/>
        <w:jc w:val="both"/>
      </w:pPr>
      <w:r>
        <w:t xml:space="preserve">Загалом сьогодні за Програмою видано 1 104 кредити на загальну суму 14,4 млн грн.(в тому числі за 11 місяців 2014 року видано 425 кредитів на суму понад 7,3 </w:t>
      </w:r>
      <w:r>
        <w:rPr>
          <w:lang w:val="ru-RU" w:eastAsia="ru-RU" w:bidi="ru-RU"/>
        </w:rPr>
        <w:t xml:space="preserve">млн. грн.). </w:t>
      </w:r>
      <w:r>
        <w:t>Сума до відшкодування з обласного бюджету становить 3,3 млн. грн.(в тому числі в 2014 р</w:t>
      </w:r>
      <w:r>
        <w:t xml:space="preserve">оці відшкодовано 1 241 129,56 тис. </w:t>
      </w:r>
      <w:r>
        <w:rPr>
          <w:lang w:val="ru-RU" w:eastAsia="ru-RU" w:bidi="ru-RU"/>
        </w:rPr>
        <w:t>грн.).</w:t>
      </w:r>
    </w:p>
    <w:p w:rsidR="009D2C52" w:rsidRDefault="000B1DC4">
      <w:pPr>
        <w:pStyle w:val="a5"/>
        <w:framePr w:w="9931" w:h="4992" w:hRule="exact" w:wrap="around" w:vAnchor="page" w:hAnchor="page" w:x="1007" w:y="5554"/>
        <w:shd w:val="clear" w:color="auto" w:fill="auto"/>
        <w:ind w:left="20" w:right="20" w:firstLine="540"/>
        <w:jc w:val="both"/>
      </w:pPr>
      <w:r>
        <w:t>У розрізі фінансових установ, які здійснювали кредитування населення у рамках Програми енергозбереження, обсяги та кількість виданих ними кредитів, відображено у табл. 1.</w:t>
      </w:r>
    </w:p>
    <w:p w:rsidR="009D2C52" w:rsidRDefault="000B1DC4">
      <w:pPr>
        <w:pStyle w:val="ac"/>
        <w:framePr w:w="9638" w:h="867" w:hRule="exact" w:wrap="around" w:vAnchor="page" w:hAnchor="page" w:x="1276" w:y="10829"/>
        <w:shd w:val="clear" w:color="auto" w:fill="auto"/>
      </w:pPr>
      <w:r>
        <w:t>Таблиця 1</w:t>
      </w:r>
    </w:p>
    <w:p w:rsidR="009D2C52" w:rsidRDefault="000B1DC4">
      <w:pPr>
        <w:pStyle w:val="ac"/>
        <w:framePr w:w="9638" w:h="867" w:hRule="exact" w:wrap="around" w:vAnchor="page" w:hAnchor="page" w:x="1276" w:y="10829"/>
        <w:shd w:val="clear" w:color="auto" w:fill="auto"/>
        <w:jc w:val="left"/>
      </w:pPr>
      <w:r>
        <w:t>Кількість та сума виданих кредиті</w:t>
      </w:r>
      <w:r>
        <w:t>в фінансово-кредитними установами Львівщини за</w:t>
      </w:r>
    </w:p>
    <w:p w:rsidR="009D2C52" w:rsidRDefault="000B1DC4">
      <w:pPr>
        <w:pStyle w:val="ac"/>
        <w:framePr w:w="9638" w:h="867" w:hRule="exact" w:wrap="around" w:vAnchor="page" w:hAnchor="page" w:x="1276" w:y="10829"/>
        <w:shd w:val="clear" w:color="auto" w:fill="auto"/>
        <w:tabs>
          <w:tab w:val="right" w:leader="underscore" w:pos="2638"/>
          <w:tab w:val="left" w:pos="2710"/>
          <w:tab w:val="left" w:leader="underscore" w:pos="9358"/>
        </w:tabs>
        <w:ind w:left="300"/>
        <w:jc w:val="both"/>
      </w:pPr>
      <w:r>
        <w:tab/>
      </w:r>
      <w:r>
        <w:rPr>
          <w:rStyle w:val="ad"/>
          <w:b/>
          <w:bCs/>
        </w:rPr>
        <w:t>Програмою</w:t>
      </w:r>
      <w:r>
        <w:rPr>
          <w:rStyle w:val="ad"/>
          <w:b/>
          <w:bCs/>
        </w:rPr>
        <w:tab/>
        <w:t>енергозбереження для населення за 2007-2014рр.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3115"/>
        <w:gridCol w:w="2986"/>
      </w:tblGrid>
      <w:tr w:rsidR="009D2C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after="120" w:line="210" w:lineRule="exact"/>
            </w:pPr>
            <w:r>
              <w:rPr>
                <w:rStyle w:val="ae"/>
              </w:rPr>
              <w:t>Кредитно-фінансові</w:t>
            </w:r>
          </w:p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before="120" w:line="210" w:lineRule="exact"/>
            </w:pPr>
            <w:r>
              <w:rPr>
                <w:rStyle w:val="ae"/>
              </w:rPr>
              <w:t>установи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after="60" w:line="210" w:lineRule="exact"/>
            </w:pPr>
            <w:r>
              <w:rPr>
                <w:rStyle w:val="ae"/>
              </w:rPr>
              <w:t>Сума виданих кредитів</w:t>
            </w:r>
          </w:p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before="60" w:line="210" w:lineRule="exact"/>
            </w:pPr>
            <w:r>
              <w:rPr>
                <w:rStyle w:val="af"/>
                <w:vertAlign w:val="superscript"/>
              </w:rPr>
              <w:t>(г</w:t>
            </w:r>
            <w:r>
              <w:rPr>
                <w:rStyle w:val="af"/>
              </w:rPr>
              <w:t>р</w:t>
            </w:r>
            <w:r>
              <w:rPr>
                <w:rStyle w:val="ae"/>
                <w:vertAlign w:val="superscript"/>
              </w:rPr>
              <w:t>н)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</w:pPr>
            <w:r>
              <w:rPr>
                <w:rStyle w:val="ae"/>
              </w:rPr>
              <w:t xml:space="preserve">Кількість виданих кредитів </w:t>
            </w:r>
            <w:r>
              <w:rPr>
                <w:rStyle w:val="ae"/>
                <w:lang w:val="ru-RU" w:eastAsia="ru-RU" w:bidi="ru-RU"/>
              </w:rPr>
              <w:t>(шт.)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f0"/>
              </w:rPr>
              <w:t>БАНКИ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  <w:lang w:val="ru-RU" w:eastAsia="ru-RU" w:bidi="ru-RU"/>
              </w:rPr>
              <w:t>КРЕДОБАНК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3 414 793,4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385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БАНК ЛЬВІВ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19 773 065,11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1578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ОЩАДБАНК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29 050 646,07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3025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УКРСОЦБАНК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216 040,0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32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ОКСІ БАНК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138 074,0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10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НАДРА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102 640,1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8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БРОКБІЗНЕСБАНК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264 000,0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3202" w:wrap="around" w:vAnchor="page" w:hAnchor="page" w:x="1568" w:y="11648"/>
              <w:shd w:val="clear" w:color="auto" w:fill="auto"/>
              <w:spacing w:line="210" w:lineRule="exact"/>
            </w:pPr>
            <w:r>
              <w:rPr>
                <w:rStyle w:val="ae"/>
              </w:rPr>
              <w:t>15</w:t>
            </w:r>
          </w:p>
        </w:tc>
      </w:tr>
    </w:tbl>
    <w:p w:rsidR="009D2C52" w:rsidRDefault="000B1DC4">
      <w:pPr>
        <w:pStyle w:val="a7"/>
        <w:framePr w:wrap="around" w:vAnchor="page" w:hAnchor="page" w:x="988" w:y="15663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2015 рік. № 22</w:t>
      </w:r>
    </w:p>
    <w:p w:rsidR="009D2C52" w:rsidRDefault="000B1DC4">
      <w:pPr>
        <w:pStyle w:val="a7"/>
        <w:framePr w:wrap="around" w:vAnchor="page" w:hAnchor="page" w:x="10708" w:y="15668"/>
        <w:shd w:val="clear" w:color="auto" w:fill="auto"/>
        <w:spacing w:line="170" w:lineRule="exact"/>
        <w:ind w:left="20"/>
      </w:pPr>
      <w:r>
        <w:t>71</w:t>
      </w:r>
    </w:p>
    <w:p w:rsidR="009D2C52" w:rsidRDefault="009D2C52">
      <w:pPr>
        <w:rPr>
          <w:sz w:val="2"/>
          <w:szCs w:val="2"/>
        </w:rPr>
        <w:sectPr w:rsidR="009D2C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2C52" w:rsidRDefault="000B1DC4">
      <w:pPr>
        <w:pStyle w:val="24"/>
        <w:framePr w:wrap="around" w:vAnchor="page" w:hAnchor="page" w:x="8420" w:y="1205"/>
        <w:shd w:val="clear" w:color="auto" w:fill="auto"/>
        <w:spacing w:line="220" w:lineRule="exact"/>
      </w:pPr>
      <w:r>
        <w:rPr>
          <w:rStyle w:val="25"/>
          <w:i/>
          <w:iCs/>
        </w:rPr>
        <w:lastRenderedPageBreak/>
        <w:t>Продовження таблиц</w:t>
      </w:r>
      <w:r>
        <w:t>і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3120"/>
        <w:gridCol w:w="2986"/>
      </w:tblGrid>
      <w:tr w:rsidR="009D2C5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Кредитно-фінансові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 xml:space="preserve">Сума виданих </w:t>
            </w:r>
            <w:r>
              <w:rPr>
                <w:rStyle w:val="ae"/>
              </w:rPr>
              <w:t>кредитів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Кількість виданих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установи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(грЩ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кредитів (шт.)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УКРІНБАНК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2 276 585,3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265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МЕГАБАНК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92 036,9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12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БГ БАНК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337 229,5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48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ПРИВАТБАНК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1 602985,6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251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  <w:lang w:val="ru-RU" w:eastAsia="ru-RU" w:bidi="ru-RU"/>
              </w:rPr>
              <w:t xml:space="preserve">АКТИВ-БАНК </w:t>
            </w:r>
            <w:r>
              <w:rPr>
                <w:rStyle w:val="ae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79 740,9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6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57 347 836,88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5 635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f0"/>
              </w:rPr>
              <w:t>КРЕДИТНІ СПІЛКИ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ВИГОДА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18 774 400,16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2616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АНІСІЯ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5 743 769,18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1009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БОЙКІВЩИНА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11 260 036,52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1450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ЛЬВІВСЬКА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1 776 895,10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324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САМОПОМІЧ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2 247 197,46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281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ГІЛЬДІЯ ВУГЛЕКОПІВ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625 020,0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83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ДОВІРА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1 466 556,12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250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ШАНС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383 255,2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62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ЄДНАННЯ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486 770,0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82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ФІНАНСОВА ГІЛЬДІЯ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18 312,0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2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КС ЩЕДРІСТЬ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63</w:t>
            </w:r>
            <w:r>
              <w:rPr>
                <w:rStyle w:val="ae"/>
              </w:rPr>
              <w:t xml:space="preserve"> 300,0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9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ae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43 845 511,72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6 168</w:t>
            </w:r>
          </w:p>
        </w:tc>
      </w:tr>
      <w:tr w:rsidR="009D2C5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ae"/>
              </w:rPr>
              <w:t>Загалом по кредитно- фінансових установах: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101 193 348,60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C52" w:rsidRDefault="000B1DC4">
            <w:pPr>
              <w:pStyle w:val="a5"/>
              <w:framePr w:w="9086" w:h="6826" w:wrap="around" w:vAnchor="page" w:hAnchor="page" w:x="1566" w:y="1477"/>
              <w:shd w:val="clear" w:color="auto" w:fill="auto"/>
              <w:spacing w:line="210" w:lineRule="exact"/>
            </w:pPr>
            <w:r>
              <w:rPr>
                <w:rStyle w:val="ae"/>
              </w:rPr>
              <w:t>11 803</w:t>
            </w:r>
          </w:p>
        </w:tc>
      </w:tr>
    </w:tbl>
    <w:p w:rsidR="009D2C52" w:rsidRDefault="000B1DC4">
      <w:pPr>
        <w:pStyle w:val="32"/>
        <w:framePr w:wrap="around" w:vAnchor="page" w:hAnchor="page" w:x="1576" w:y="8321"/>
        <w:shd w:val="clear" w:color="auto" w:fill="auto"/>
        <w:spacing w:line="210" w:lineRule="exact"/>
      </w:pPr>
      <w:r>
        <w:t>Джерело: складено на основі [9]</w:t>
      </w:r>
    </w:p>
    <w:p w:rsidR="009D2C52" w:rsidRDefault="000B1DC4">
      <w:pPr>
        <w:pStyle w:val="a5"/>
        <w:framePr w:w="9926" w:h="1983" w:hRule="exact" w:wrap="around" w:vAnchor="page" w:hAnchor="page" w:x="1009" w:y="8688"/>
        <w:shd w:val="clear" w:color="auto" w:fill="auto"/>
        <w:ind w:right="20" w:firstLine="560"/>
        <w:jc w:val="both"/>
      </w:pPr>
      <w:r>
        <w:t>Як видно із табл. 1 обсяги кредитів, виданих кредитними спілками, є дещо нижчими, ніж обсяг банківських кредитів, проте щодо кількості кредитів, то ситуація є протилежною: кредитні спілки надали на 533 кредити більше, ніж банки. Найбільш активними кредитор</w:t>
      </w:r>
      <w:r>
        <w:t xml:space="preserve">ами серед банків є АТ «Державний ощадний банк» (29 050 646,07 </w:t>
      </w:r>
      <w:r>
        <w:rPr>
          <w:lang w:val="ru-RU" w:eastAsia="ru-RU" w:bidi="ru-RU"/>
        </w:rPr>
        <w:t xml:space="preserve">грн.), </w:t>
      </w:r>
      <w:r>
        <w:t xml:space="preserve">ПАТ «Банк Львів» (19 773 065,11 </w:t>
      </w:r>
      <w:r>
        <w:rPr>
          <w:lang w:val="ru-RU" w:eastAsia="ru-RU" w:bidi="ru-RU"/>
        </w:rPr>
        <w:t xml:space="preserve">грн.) </w:t>
      </w:r>
      <w:r>
        <w:t xml:space="preserve">та ПАТ </w:t>
      </w:r>
      <w:r>
        <w:rPr>
          <w:lang w:val="ru-RU" w:eastAsia="ru-RU" w:bidi="ru-RU"/>
        </w:rPr>
        <w:t xml:space="preserve">«Кредобанк» </w:t>
      </w:r>
      <w:r>
        <w:t xml:space="preserve">(3 414 793,4 </w:t>
      </w:r>
      <w:r>
        <w:rPr>
          <w:lang w:val="ru-RU" w:eastAsia="ru-RU" w:bidi="ru-RU"/>
        </w:rPr>
        <w:t>грн.).</w:t>
      </w:r>
    </w:p>
    <w:p w:rsidR="009D2C52" w:rsidRDefault="000B1DC4">
      <w:pPr>
        <w:pStyle w:val="a5"/>
        <w:framePr w:w="9926" w:h="1983" w:hRule="exact" w:wrap="around" w:vAnchor="page" w:hAnchor="page" w:x="1009" w:y="8688"/>
        <w:shd w:val="clear" w:color="auto" w:fill="auto"/>
        <w:ind w:right="20" w:firstLine="560"/>
        <w:jc w:val="both"/>
      </w:pPr>
      <w:r>
        <w:rPr>
          <w:lang w:val="ru-RU" w:eastAsia="ru-RU" w:bidi="ru-RU"/>
        </w:rPr>
        <w:t xml:space="preserve">На рис. 3 </w:t>
      </w:r>
      <w:r>
        <w:t xml:space="preserve">відображено </w:t>
      </w:r>
      <w:r>
        <w:rPr>
          <w:lang w:val="ru-RU" w:eastAsia="ru-RU" w:bidi="ru-RU"/>
        </w:rPr>
        <w:t xml:space="preserve">частку </w:t>
      </w:r>
      <w:r>
        <w:t xml:space="preserve">банківських </w:t>
      </w:r>
      <w:r>
        <w:rPr>
          <w:lang w:val="ru-RU" w:eastAsia="ru-RU" w:bidi="ru-RU"/>
        </w:rPr>
        <w:t xml:space="preserve">установ у загальному </w:t>
      </w:r>
      <w:r>
        <w:t xml:space="preserve">банківському </w:t>
      </w:r>
      <w:r>
        <w:rPr>
          <w:lang w:val="ru-RU" w:eastAsia="ru-RU" w:bidi="ru-RU"/>
        </w:rPr>
        <w:t xml:space="preserve">кредитному </w:t>
      </w:r>
      <w:r>
        <w:t>портфелі Програми енерго</w:t>
      </w:r>
      <w:r>
        <w:t>збереження для населення у Львівській області.</w:t>
      </w:r>
    </w:p>
    <w:p w:rsidR="009D2C52" w:rsidRDefault="000B1DC4">
      <w:pPr>
        <w:pStyle w:val="34"/>
        <w:framePr w:w="1776" w:h="504" w:hRule="exact" w:wrap="around" w:vAnchor="page" w:hAnchor="page" w:x="8579" w:y="11768"/>
        <w:shd w:val="clear" w:color="auto" w:fill="auto"/>
        <w:ind w:right="20"/>
      </w:pPr>
      <w:r>
        <w:rPr>
          <w:rStyle w:val="35"/>
        </w:rPr>
        <w:t xml:space="preserve">■ </w:t>
      </w:r>
      <w:r>
        <w:t>частка банківських установу загальній</w:t>
      </w:r>
    </w:p>
    <w:p w:rsidR="009D2C52" w:rsidRDefault="000B1DC4">
      <w:pPr>
        <w:pStyle w:val="34"/>
        <w:framePr w:w="6259" w:h="418" w:hRule="exact" w:wrap="around" w:vAnchor="page" w:hAnchor="page" w:x="3548" w:y="12315"/>
        <w:shd w:val="clear" w:color="auto" w:fill="auto"/>
        <w:tabs>
          <w:tab w:val="left" w:pos="5185"/>
        </w:tabs>
        <w:spacing w:line="170" w:lineRule="exact"/>
        <w:ind w:left="20"/>
        <w:jc w:val="both"/>
      </w:pPr>
      <w:r>
        <w:rPr>
          <w:rStyle w:val="36"/>
        </w:rPr>
        <w:t xml:space="preserve">0,38 0,24 0,18 0,46 </w:t>
      </w:r>
      <w:r>
        <w:rPr>
          <w:rStyle w:val="36"/>
          <w:vertAlign w:val="superscript"/>
        </w:rPr>
        <w:t>3</w:t>
      </w:r>
      <w:r>
        <w:rPr>
          <w:rStyle w:val="36"/>
        </w:rPr>
        <w:t>’</w:t>
      </w:r>
      <w:r>
        <w:rPr>
          <w:rStyle w:val="36"/>
          <w:vertAlign w:val="superscript"/>
        </w:rPr>
        <w:t>97</w:t>
      </w:r>
      <w:r>
        <w:rPr>
          <w:rStyle w:val="36"/>
        </w:rPr>
        <w:t xml:space="preserve"> 0,16 0,58 </w:t>
      </w:r>
      <w:r>
        <w:rPr>
          <w:rStyle w:val="36"/>
          <w:vertAlign w:val="superscript"/>
        </w:rPr>
        <w:t>2</w:t>
      </w:r>
      <w:r>
        <w:rPr>
          <w:rStyle w:val="36"/>
        </w:rPr>
        <w:t>&gt;</w:t>
      </w:r>
      <w:r>
        <w:rPr>
          <w:rStyle w:val="36"/>
          <w:vertAlign w:val="superscript"/>
        </w:rPr>
        <w:t>7</w:t>
      </w:r>
      <w:r>
        <w:rPr>
          <w:vertAlign w:val="superscript"/>
        </w:rPr>
        <w:t>9</w:t>
      </w:r>
      <w:r>
        <w:t xml:space="preserve"> </w:t>
      </w:r>
      <w:r>
        <w:rPr>
          <w:rStyle w:val="36"/>
        </w:rPr>
        <w:t>0Д4</w:t>
      </w:r>
      <w:r>
        <w:tab/>
        <w:t>структурі</w:t>
      </w:r>
    </w:p>
    <w:p w:rsidR="009D2C52" w:rsidRDefault="000B1DC4">
      <w:pPr>
        <w:pStyle w:val="34"/>
        <w:framePr w:w="6259" w:h="418" w:hRule="exact" w:wrap="around" w:vAnchor="page" w:hAnchor="page" w:x="3548" w:y="12315"/>
        <w:shd w:val="clear" w:color="auto" w:fill="auto"/>
        <w:tabs>
          <w:tab w:val="right" w:leader="hyphen" w:pos="894"/>
          <w:tab w:val="right" w:leader="hyphen" w:pos="1306"/>
          <w:tab w:val="right" w:pos="1738"/>
          <w:tab w:val="right" w:pos="2046"/>
          <w:tab w:val="right" w:pos="2881"/>
          <w:tab w:val="left" w:pos="2924"/>
          <w:tab w:val="left" w:pos="5223"/>
        </w:tabs>
        <w:spacing w:line="170" w:lineRule="exact"/>
        <w:ind w:left="20"/>
        <w:jc w:val="both"/>
      </w:pPr>
      <w:r>
        <w:rPr>
          <w:rStyle w:val="37"/>
        </w:rPr>
        <w:t>_</w:t>
      </w:r>
      <w:r>
        <w:rPr>
          <w:rStyle w:val="35"/>
        </w:rPr>
        <w:t>—</w:t>
      </w:r>
      <w:r>
        <w:rPr>
          <w:rStyle w:val="37"/>
        </w:rPr>
        <w:tab/>
        <w:t>.</w:t>
      </w:r>
      <w:r>
        <w:rPr>
          <w:rStyle w:val="37"/>
        </w:rPr>
        <w:tab/>
        <w:t>.</w:t>
      </w:r>
      <w:r>
        <w:rPr>
          <w:rStyle w:val="37"/>
        </w:rPr>
        <w:tab/>
        <w:t>,</w:t>
      </w:r>
      <w:r>
        <w:rPr>
          <w:rStyle w:val="37"/>
        </w:rPr>
        <w:tab/>
      </w:r>
      <w:r>
        <w:rPr>
          <w:rStyle w:val="35"/>
        </w:rPr>
        <w:t>М</w:t>
      </w:r>
      <w:r>
        <w:rPr>
          <w:rStyle w:val="35"/>
        </w:rPr>
        <w:tab/>
      </w:r>
      <w:r>
        <w:rPr>
          <w:rStyle w:val="37"/>
        </w:rPr>
        <w:t>,—.—</w:t>
      </w:r>
      <w:r>
        <w:rPr>
          <w:rStyle w:val="38"/>
        </w:rPr>
        <w:t>„</w:t>
      </w:r>
      <w:r>
        <w:rPr>
          <w:rStyle w:val="35"/>
        </w:rPr>
        <w:t>—</w:t>
      </w:r>
      <w:r>
        <w:rPr>
          <w:rStyle w:val="35"/>
        </w:rPr>
        <w:tab/>
      </w:r>
      <w:r>
        <w:rPr>
          <w:rStyle w:val="37"/>
        </w:rPr>
        <w:t xml:space="preserve">, </w:t>
      </w:r>
      <w:r>
        <w:rPr>
          <w:rStyle w:val="35"/>
        </w:rPr>
        <w:t xml:space="preserve">'Ш' </w:t>
      </w:r>
      <w:r>
        <w:rPr>
          <w:rStyle w:val="37"/>
        </w:rPr>
        <w:t xml:space="preserve">, </w:t>
      </w:r>
      <w:r>
        <w:rPr>
          <w:rStyle w:val="39"/>
        </w:rPr>
        <w:t>,</w:t>
      </w:r>
      <w:r>
        <w:rPr>
          <w:rStyle w:val="39"/>
        </w:rPr>
        <w:tab/>
      </w:r>
      <w:r>
        <w:t>банківського</w:t>
      </w:r>
    </w:p>
    <w:p w:rsidR="009D2C52" w:rsidRDefault="000B1DC4">
      <w:pPr>
        <w:framePr w:wrap="none" w:vAnchor="page" w:hAnchor="page" w:x="1465" w:y="12853"/>
        <w:rPr>
          <w:sz w:val="2"/>
          <w:szCs w:val="2"/>
        </w:rPr>
      </w:pPr>
      <w:r>
        <w:pict>
          <v:shape id="_x0000_i1030" type="#_x0000_t75" style="width:450pt;height:62.25pt">
            <v:imagedata r:id="rId19" r:href="rId20"/>
          </v:shape>
        </w:pict>
      </w:r>
    </w:p>
    <w:p w:rsidR="009D2C52" w:rsidRDefault="000B1DC4">
      <w:pPr>
        <w:pStyle w:val="aa"/>
        <w:framePr w:w="9605" w:h="879" w:hRule="exact" w:wrap="around" w:vAnchor="page" w:hAnchor="page" w:x="1163" w:y="14246"/>
        <w:shd w:val="clear" w:color="auto" w:fill="auto"/>
      </w:pPr>
      <w:r>
        <w:t>Рис. 3. Частка банківських установ у загальній структурі банківського кредитного портфеля Програми енергозбереження для населення Львівщини за період 2007-2014рр.</w:t>
      </w:r>
    </w:p>
    <w:p w:rsidR="009D2C52" w:rsidRDefault="000B1DC4">
      <w:pPr>
        <w:pStyle w:val="22"/>
        <w:framePr w:w="9605" w:h="879" w:hRule="exact" w:wrap="around" w:vAnchor="page" w:hAnchor="page" w:x="1163" w:y="14246"/>
        <w:shd w:val="clear" w:color="auto" w:fill="auto"/>
        <w:ind w:left="420"/>
      </w:pPr>
      <w:r>
        <w:t>Джерело: складено на основі [9]</w:t>
      </w:r>
    </w:p>
    <w:p w:rsidR="009D2C52" w:rsidRDefault="000B1DC4">
      <w:pPr>
        <w:framePr w:wrap="none" w:vAnchor="page" w:hAnchor="page" w:x="1518" w:y="10961"/>
        <w:rPr>
          <w:sz w:val="2"/>
          <w:szCs w:val="2"/>
        </w:rPr>
      </w:pPr>
      <w:r>
        <w:pict>
          <v:shape id="_x0000_i1031" type="#_x0000_t75" style="width:99.75pt;height:90.75pt">
            <v:imagedata r:id="rId21" r:href="rId22"/>
          </v:shape>
        </w:pict>
      </w:r>
    </w:p>
    <w:p w:rsidR="009D2C52" w:rsidRDefault="000B1DC4">
      <w:pPr>
        <w:pStyle w:val="a7"/>
        <w:framePr w:wrap="around" w:vAnchor="page" w:hAnchor="page" w:x="980" w:y="15639"/>
        <w:shd w:val="clear" w:color="auto" w:fill="auto"/>
        <w:spacing w:line="170" w:lineRule="exact"/>
        <w:ind w:left="20"/>
      </w:pPr>
      <w:r>
        <w:t>72</w:t>
      </w:r>
    </w:p>
    <w:p w:rsidR="009D2C52" w:rsidRDefault="009D2C52">
      <w:pPr>
        <w:rPr>
          <w:sz w:val="2"/>
          <w:szCs w:val="2"/>
        </w:rPr>
        <w:sectPr w:rsidR="009D2C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2C52" w:rsidRDefault="000B1DC4">
      <w:pPr>
        <w:pStyle w:val="a5"/>
        <w:framePr w:w="9946" w:h="13843" w:hRule="exact" w:wrap="around" w:vAnchor="page" w:hAnchor="page" w:x="1000" w:y="1147"/>
        <w:shd w:val="clear" w:color="auto" w:fill="auto"/>
        <w:ind w:left="20" w:right="20" w:firstLine="560"/>
        <w:jc w:val="both"/>
      </w:pPr>
      <w:r>
        <w:lastRenderedPageBreak/>
        <w:t>Як видно із рис. 3, найбільшу частку у структурі загального банківського кредитного портфеля Програми АТ «Держа</w:t>
      </w:r>
      <w:r>
        <w:t xml:space="preserve">вний ощадний банк» (50,65%), ПАТ «Банк Львів» (34,47%) та ПАТ </w:t>
      </w:r>
      <w:r>
        <w:rPr>
          <w:lang w:val="ru-RU" w:eastAsia="ru-RU" w:bidi="ru-RU"/>
        </w:rPr>
        <w:t xml:space="preserve">«Кредобанк» </w:t>
      </w:r>
      <w:r>
        <w:t xml:space="preserve">(5,95%). Четверту та п’яту позиції займають ПАТ «Укрінбанк» та ПАТ «Приватбанк»: </w:t>
      </w:r>
      <w:r>
        <w:rPr>
          <w:lang w:val="ru-RU" w:eastAsia="ru-RU" w:bidi="ru-RU"/>
        </w:rPr>
        <w:t xml:space="preserve">3,97% </w:t>
      </w:r>
      <w:r>
        <w:t>та 2,79% відповідно. На решти банківських установ припадає менша частка, яка в середньому стано</w:t>
      </w:r>
      <w:r>
        <w:t>вить 0,31 %, найнижчі ж значення прослідковуються у ПАТ «АКТИВ-БАНКУ» (0,14%), ПАТ «МЕГАБАНКУ» (0,16%) та ПАТ «Приватбанку» (0,18%).</w:t>
      </w:r>
    </w:p>
    <w:p w:rsidR="009D2C52" w:rsidRDefault="000B1DC4">
      <w:pPr>
        <w:pStyle w:val="a5"/>
        <w:framePr w:w="9946" w:h="13843" w:hRule="exact" w:wrap="around" w:vAnchor="page" w:hAnchor="page" w:x="1000" w:y="1147"/>
        <w:shd w:val="clear" w:color="auto" w:fill="auto"/>
        <w:ind w:left="20" w:right="20" w:firstLine="560"/>
        <w:jc w:val="both"/>
      </w:pPr>
      <w:r>
        <w:t>Загалом діяльність банківських установ у межах кредитування Програми енергоощадності населення Львівщини засвідчує як еконо</w:t>
      </w:r>
      <w:r>
        <w:t xml:space="preserve">мічну доцільність Програми, так і позитивний соціально-економічний ефект. За підрахунками Львівської обласної державної адміністрації у ході реалізації програми житловий фонд збільшився на 8,9%. </w:t>
      </w:r>
      <w:r>
        <w:rPr>
          <w:lang w:val="ru-RU" w:eastAsia="ru-RU" w:bidi="ru-RU"/>
        </w:rPr>
        <w:t xml:space="preserve">При </w:t>
      </w:r>
      <w:r>
        <w:t>цьому споживання природного газу населенням скоротилось з</w:t>
      </w:r>
      <w:r>
        <w:t>а період дії Програми на 4,7% або на 377 млн. м. куб., а загальна економія за рік становить близько 53 млн. м. куб. в рік. Аналіз фінансової ефективності реалізації заходів енергозбереження в частині кредитування населення засвідчив, що кожна гривня, витра</w:t>
      </w:r>
      <w:r>
        <w:t>чена з обласного бюджету на компенсацію відсотків, забезпечила залучення в економіку регіону 20,7 грн. Надходження до бюджетів різного роду становило приблизно 3,5 грн. Крім цього, слід враховувати, що особи, які здійснили енергоощадні заходи за кошти Прог</w:t>
      </w:r>
      <w:r>
        <w:t xml:space="preserve">рами, у </w:t>
      </w:r>
      <w:r>
        <w:rPr>
          <w:lang w:val="ru-RU" w:eastAsia="ru-RU" w:bidi="ru-RU"/>
        </w:rPr>
        <w:t xml:space="preserve">рази </w:t>
      </w:r>
      <w:r>
        <w:t>зменшили споживання тепла і, відповідно, не звертаються до соціальних служб за субсидіями на покриття видатків на комунальні послуги, що значно заощаджує бюджетні кошти [10].</w:t>
      </w:r>
    </w:p>
    <w:p w:rsidR="009D2C52" w:rsidRDefault="000B1DC4">
      <w:pPr>
        <w:pStyle w:val="a5"/>
        <w:framePr w:w="9946" w:h="13843" w:hRule="exact" w:wrap="around" w:vAnchor="page" w:hAnchor="page" w:x="1000" w:y="1147"/>
        <w:shd w:val="clear" w:color="auto" w:fill="auto"/>
        <w:ind w:left="20" w:right="20" w:firstLine="560"/>
        <w:jc w:val="both"/>
      </w:pPr>
      <w:r>
        <w:rPr>
          <w:rStyle w:val="a8"/>
        </w:rPr>
        <w:t xml:space="preserve">Висновки та подальші дослідження. </w:t>
      </w:r>
      <w:r>
        <w:t xml:space="preserve">На основі проведеного дослідження </w:t>
      </w:r>
      <w:r>
        <w:t>можна простежити, що інвестиційні кредити є рушійною силою енергоощадних заходів, виступають як чинники економічного зростання регіону. Водночас, для банків такі види інвестиційних кредитів є досить ризикованими, що пов’язано із предметом застави, як одног</w:t>
      </w:r>
      <w:r>
        <w:t>о із основних способів страхування банківських ризиків. Заставою таких інвестиційних кредитів виступає товар, на придбання якого отримується кредит або порука фізичних осіб, який є важколіквідним. Враховуючи позитивну тенденцію поверненості енергоощадних к</w:t>
      </w:r>
      <w:r>
        <w:t>редитів у рамках даної Програми, все ж таки у банківських установах дохідна частина від таких кредитних операцій значно перевищує її витратну, а в деяких випадках і збиткову частину, так як відсоток повернених кредитів становить 95 %, а відсоток прострочен</w:t>
      </w:r>
      <w:r>
        <w:t>их кредитів - 5%.</w:t>
      </w:r>
    </w:p>
    <w:p w:rsidR="009D2C52" w:rsidRDefault="000B1DC4">
      <w:pPr>
        <w:pStyle w:val="a5"/>
        <w:framePr w:w="9946" w:h="13843" w:hRule="exact" w:wrap="around" w:vAnchor="page" w:hAnchor="page" w:x="1000" w:y="1147"/>
        <w:shd w:val="clear" w:color="auto" w:fill="auto"/>
        <w:ind w:left="20" w:right="20" w:firstLine="560"/>
        <w:jc w:val="both"/>
      </w:pPr>
      <w:r>
        <w:t xml:space="preserve">Відлагоджений механізм програми забезпечує задоволення інтересів усіх учасників. Населення значно менше відчуває кредитне навантаження </w:t>
      </w:r>
      <w:r>
        <w:rPr>
          <w:lang w:val="ru-RU" w:eastAsia="ru-RU" w:bidi="ru-RU"/>
        </w:rPr>
        <w:t xml:space="preserve">через </w:t>
      </w:r>
      <w:r>
        <w:t>механізм бюджетного відшкодування відсотків за кредитами, що є також достатнім стимулом до такого</w:t>
      </w:r>
      <w:r>
        <w:t xml:space="preserve"> роду кредиту. У підприємств в галузі енергоефективного будівництва та реконструкції внаслідок реалізованих заходів Програми збільшується товарооборот, а отже, і прибуток, з якого здійснюються відрахування у бюджет. За рахунок такого роду надходжень, зрост</w:t>
      </w:r>
      <w:r>
        <w:t>ає дохідна частина та зменшується обсяг бюджетних витрат у вигляді субсидій для населення за спожиті енергоносії. Враховуючи, що в Україні упродовж десятків років сформувався великий потенціал економії ПЕР, який перевищує 55% до загального обсягу їх спожив</w:t>
      </w:r>
      <w:r>
        <w:t>ання, здійснення програмних енергоощадних заходів стає надзвичайно ефективним бізнесом. [9].</w:t>
      </w:r>
    </w:p>
    <w:p w:rsidR="009D2C52" w:rsidRDefault="000B1DC4">
      <w:pPr>
        <w:pStyle w:val="a5"/>
        <w:framePr w:w="9946" w:h="13843" w:hRule="exact" w:wrap="around" w:vAnchor="page" w:hAnchor="page" w:x="1000" w:y="1147"/>
        <w:shd w:val="clear" w:color="auto" w:fill="auto"/>
        <w:ind w:left="20" w:right="20" w:firstLine="560"/>
        <w:jc w:val="both"/>
      </w:pPr>
      <w:r>
        <w:t>Банківські установи, ставши операторами Програми, також підвищили рівень попиту на свої кредитні продукти, а саме - інвестиційні кредити, так як Програма енергооща</w:t>
      </w:r>
      <w:r>
        <w:t>дності населення є інвестиційним проектом Львівської обласної державної адміністрації.</w:t>
      </w:r>
    </w:p>
    <w:p w:rsidR="009D2C52" w:rsidRDefault="000B1DC4">
      <w:pPr>
        <w:pStyle w:val="a5"/>
        <w:framePr w:w="9946" w:h="13843" w:hRule="exact" w:wrap="around" w:vAnchor="page" w:hAnchor="page" w:x="1000" w:y="1147"/>
        <w:shd w:val="clear" w:color="auto" w:fill="auto"/>
        <w:ind w:left="20" w:right="20" w:firstLine="560"/>
        <w:jc w:val="both"/>
      </w:pPr>
      <w:r>
        <w:t>Для забезпечення стратегічних цілей та реалізації планів уряду України, повинні здійснюватися заходи у енергозбереженні та економії ПЕК як загалом, так і в регіональному</w:t>
      </w:r>
      <w:r>
        <w:t xml:space="preserve"> розрізі зокрема. Розробка енергетичної стратегії регіону, орієнтованої на відхід від газової залежності з орієнтуванням на місцеві види палива та здійснення першочергових заходів із енергоощадності дозволить ставити питання про повну енергетичну незалежні</w:t>
      </w:r>
      <w:r>
        <w:t>сть[9].</w:t>
      </w:r>
    </w:p>
    <w:p w:rsidR="009D2C52" w:rsidRDefault="000B1DC4">
      <w:pPr>
        <w:pStyle w:val="a5"/>
        <w:framePr w:w="9946" w:h="13843" w:hRule="exact" w:wrap="around" w:vAnchor="page" w:hAnchor="page" w:x="1000" w:y="1147"/>
        <w:shd w:val="clear" w:color="auto" w:fill="auto"/>
        <w:ind w:left="20" w:right="20" w:firstLine="560"/>
        <w:jc w:val="both"/>
      </w:pPr>
      <w:r>
        <w:t>Таки чином, впроваджені програми енергозбереження населення демонструють свій економічний ефект, саме тому перспективним кроком було б налагодження співпраці з Міністерством фінансів у частині розробки загальнодержавної програми залучення коштів, т</w:t>
      </w:r>
      <w:r>
        <w:t>а</w:t>
      </w:r>
    </w:p>
    <w:p w:rsidR="009D2C52" w:rsidRDefault="000B1DC4">
      <w:pPr>
        <w:pStyle w:val="a7"/>
        <w:framePr w:wrap="around" w:vAnchor="page" w:hAnchor="page" w:x="990" w:y="15663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ISSN</w:t>
      </w:r>
      <w:r w:rsidRPr="00CD7A92">
        <w:rPr>
          <w:lang w:val="ru-RU" w:eastAsia="en-US" w:bidi="en-US"/>
        </w:rPr>
        <w:t xml:space="preserve"> </w:t>
      </w:r>
      <w:r>
        <w:t>1818-2682. Наука молода, 2015 рік. № 22</w:t>
      </w:r>
    </w:p>
    <w:p w:rsidR="009D2C52" w:rsidRDefault="000B1DC4">
      <w:pPr>
        <w:pStyle w:val="a7"/>
        <w:framePr w:wrap="around" w:vAnchor="page" w:hAnchor="page" w:x="10710" w:y="15668"/>
        <w:shd w:val="clear" w:color="auto" w:fill="auto"/>
        <w:spacing w:line="170" w:lineRule="exact"/>
        <w:ind w:left="20"/>
      </w:pPr>
      <w:r>
        <w:t>73</w:t>
      </w:r>
    </w:p>
    <w:p w:rsidR="009D2C52" w:rsidRDefault="009D2C52">
      <w:pPr>
        <w:rPr>
          <w:sz w:val="2"/>
          <w:szCs w:val="2"/>
        </w:rPr>
        <w:sectPr w:rsidR="009D2C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2C52" w:rsidRDefault="000B1DC4">
      <w:pPr>
        <w:pStyle w:val="a5"/>
        <w:framePr w:w="10018" w:h="13848" w:hRule="exact" w:wrap="around" w:vAnchor="page" w:hAnchor="page" w:x="964" w:y="1234"/>
        <w:shd w:val="clear" w:color="auto" w:fill="auto"/>
        <w:spacing w:after="240"/>
        <w:ind w:left="20" w:right="20"/>
        <w:jc w:val="both"/>
      </w:pPr>
      <w:r>
        <w:lastRenderedPageBreak/>
        <w:t xml:space="preserve">реалізація </w:t>
      </w:r>
      <w:r>
        <w:rPr>
          <w:lang w:val="ru-RU" w:eastAsia="ru-RU" w:bidi="ru-RU"/>
        </w:rPr>
        <w:t xml:space="preserve">такого позитивного </w:t>
      </w:r>
      <w:r>
        <w:t xml:space="preserve">досвіду </w:t>
      </w:r>
      <w:r>
        <w:rPr>
          <w:lang w:val="ru-RU" w:eastAsia="ru-RU" w:bidi="ru-RU"/>
        </w:rPr>
        <w:t xml:space="preserve">у </w:t>
      </w:r>
      <w:r>
        <w:t xml:space="preserve">інших </w:t>
      </w:r>
      <w:r>
        <w:rPr>
          <w:lang w:val="ru-RU" w:eastAsia="ru-RU" w:bidi="ru-RU"/>
        </w:rPr>
        <w:t xml:space="preserve">областях </w:t>
      </w:r>
      <w:r>
        <w:t xml:space="preserve">країни. Окрім </w:t>
      </w:r>
      <w:r w:rsidRPr="00CD7A92">
        <w:rPr>
          <w:lang w:eastAsia="ru-RU" w:bidi="ru-RU"/>
        </w:rPr>
        <w:t xml:space="preserve">цього, </w:t>
      </w:r>
      <w:r>
        <w:t xml:space="preserve">сьогодні розроблені також програми із енергозбереження для бюджетних установ та об’єднань співвласників </w:t>
      </w:r>
      <w:r>
        <w:t>багатоквартирних будинків (ОСББ), проте ці програми залишаються не реалізованими у зв’язку із відсутністю фінансування. Саме тому, наступним кроком у подоланні енергетичної кризи є активна співпраця з міжнародними фондами, консалтинговими та юридичними ком</w:t>
      </w:r>
      <w:r>
        <w:t>паніями щодо розробки шляхів розширення дії програми.</w:t>
      </w:r>
    </w:p>
    <w:p w:rsidR="009D2C52" w:rsidRDefault="000B1DC4">
      <w:pPr>
        <w:pStyle w:val="50"/>
        <w:framePr w:w="10018" w:h="13848" w:hRule="exact" w:wrap="around" w:vAnchor="page" w:hAnchor="page" w:x="964" w:y="1234"/>
        <w:shd w:val="clear" w:color="auto" w:fill="auto"/>
        <w:spacing w:before="0"/>
        <w:ind w:left="20"/>
      </w:pPr>
      <w:r>
        <w:t>Список літератури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ind w:left="40" w:right="60" w:firstLine="580"/>
        <w:rPr>
          <w:lang w:val="ru-RU"/>
        </w:rPr>
      </w:pPr>
      <w:r>
        <w:rPr>
          <w:lang w:val="uk-UA" w:eastAsia="uk-UA" w:bidi="uk-UA"/>
        </w:rPr>
        <w:t xml:space="preserve"> </w:t>
      </w:r>
      <w:r>
        <w:rPr>
          <w:lang w:val="ru-RU" w:eastAsia="ru-RU" w:bidi="ru-RU"/>
        </w:rPr>
        <w:t xml:space="preserve">Лысюк </w:t>
      </w:r>
      <w:r>
        <w:rPr>
          <w:lang w:val="uk-UA" w:eastAsia="uk-UA" w:bidi="uk-UA"/>
        </w:rPr>
        <w:t xml:space="preserve">В.М. </w:t>
      </w:r>
      <w:r>
        <w:rPr>
          <w:lang w:val="ru-RU" w:eastAsia="ru-RU" w:bidi="ru-RU"/>
        </w:rPr>
        <w:t xml:space="preserve">Принципы приведения уровня энергосбережения в ЖКХ к мировым стандартам /ВМ. Лысюк, Е.П. Бутин, С.Г. Ажнанкин </w:t>
      </w:r>
      <w:r>
        <w:rPr>
          <w:lang w:val="uk-UA" w:eastAsia="uk-UA" w:bidi="uk-UA"/>
        </w:rPr>
        <w:t xml:space="preserve">//Академічний огляд. </w:t>
      </w:r>
      <w:r>
        <w:rPr>
          <w:lang w:val="ru-RU" w:eastAsia="ru-RU" w:bidi="ru-RU"/>
        </w:rPr>
        <w:t xml:space="preserve">- </w:t>
      </w:r>
      <w:r w:rsidRPr="00CD7A92">
        <w:rPr>
          <w:lang w:val="ru-RU"/>
        </w:rPr>
        <w:t>2</w:t>
      </w:r>
      <w:r>
        <w:t>G</w:t>
      </w:r>
      <w:r w:rsidRPr="00CD7A92">
        <w:rPr>
          <w:lang w:val="ru-RU"/>
        </w:rPr>
        <w:t>1</w:t>
      </w:r>
      <w:r>
        <w:t>G</w:t>
      </w:r>
      <w:r w:rsidRPr="00CD7A92">
        <w:rPr>
          <w:lang w:val="ru-RU"/>
        </w:rPr>
        <w:t xml:space="preserve">. </w:t>
      </w:r>
      <w:r>
        <w:rPr>
          <w:lang w:val="ru-RU" w:eastAsia="ru-RU" w:bidi="ru-RU"/>
        </w:rPr>
        <w:t xml:space="preserve">- №2 (33). - С. </w:t>
      </w:r>
      <w:r w:rsidRPr="00CD7A92">
        <w:rPr>
          <w:lang w:val="ru-RU"/>
        </w:rPr>
        <w:t>1</w:t>
      </w:r>
      <w:r>
        <w:t>G</w:t>
      </w:r>
      <w:r w:rsidRPr="00CD7A92">
        <w:rPr>
          <w:lang w:val="ru-RU"/>
        </w:rPr>
        <w:t>8-114.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ind w:left="40" w:right="60" w:firstLine="580"/>
        <w:rPr>
          <w:lang w:val="ru-RU"/>
        </w:rPr>
      </w:pPr>
      <w:r>
        <w:rPr>
          <w:lang w:val="ru-RU" w:eastAsia="ru-RU" w:bidi="ru-RU"/>
        </w:rPr>
        <w:t xml:space="preserve"> Маляренко В.А. Енерго- та </w:t>
      </w:r>
      <w:r>
        <w:rPr>
          <w:lang w:val="uk-UA" w:eastAsia="uk-UA" w:bidi="uk-UA"/>
        </w:rPr>
        <w:t xml:space="preserve">ресурсозбереження </w:t>
      </w:r>
      <w:r>
        <w:rPr>
          <w:lang w:val="ru-RU" w:eastAsia="ru-RU" w:bidi="ru-RU"/>
        </w:rPr>
        <w:t xml:space="preserve">при </w:t>
      </w:r>
      <w:r>
        <w:rPr>
          <w:lang w:val="uk-UA" w:eastAsia="uk-UA" w:bidi="uk-UA"/>
        </w:rPr>
        <w:t xml:space="preserve">реформуваннi житлово- комунального господарства України </w:t>
      </w:r>
      <w:r>
        <w:rPr>
          <w:lang w:val="ru-RU" w:eastAsia="ru-RU" w:bidi="ru-RU"/>
        </w:rPr>
        <w:t xml:space="preserve">/ В.А. Маляренко // Интегрированные технологии и энергосбережение. - </w:t>
      </w:r>
      <w:r w:rsidRPr="00CD7A92">
        <w:rPr>
          <w:lang w:val="ru-RU"/>
        </w:rPr>
        <w:t>2</w:t>
      </w:r>
      <w:r>
        <w:t>GG</w:t>
      </w:r>
      <w:r w:rsidRPr="00CD7A92">
        <w:rPr>
          <w:lang w:val="ru-RU"/>
        </w:rPr>
        <w:t xml:space="preserve">4. </w:t>
      </w:r>
      <w:r>
        <w:rPr>
          <w:lang w:val="ru-RU" w:eastAsia="ru-RU" w:bidi="ru-RU"/>
        </w:rPr>
        <w:t>- №1. - С. 3-8.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ind w:left="40" w:right="60" w:firstLine="580"/>
        <w:rPr>
          <w:lang w:val="ru-RU"/>
        </w:rPr>
      </w:pPr>
      <w:r>
        <w:rPr>
          <w:lang w:val="ru-RU" w:eastAsia="ru-RU" w:bidi="ru-RU"/>
        </w:rPr>
        <w:t xml:space="preserve"> </w:t>
      </w:r>
      <w:r>
        <w:rPr>
          <w:lang w:val="uk-UA" w:eastAsia="uk-UA" w:bidi="uk-UA"/>
        </w:rPr>
        <w:t xml:space="preserve">Тітяєв </w:t>
      </w:r>
      <w:r>
        <w:rPr>
          <w:lang w:val="ru-RU" w:eastAsia="ru-RU" w:bidi="ru-RU"/>
        </w:rPr>
        <w:t>В.</w:t>
      </w:r>
      <w:r>
        <w:rPr>
          <w:lang w:val="uk-UA" w:eastAsia="uk-UA" w:bidi="uk-UA"/>
        </w:rPr>
        <w:t>І. Механізм активізації інвестиційної привабливост</w:t>
      </w:r>
      <w:r>
        <w:rPr>
          <w:lang w:val="uk-UA" w:eastAsia="uk-UA" w:bidi="uk-UA"/>
        </w:rPr>
        <w:t xml:space="preserve">і енергозбереження у житлово-комунальній сфері/ В.І. Тітяєв, Н.С. Гетало // Комунальне господарство міст: науково-технічний збірник. - </w:t>
      </w:r>
      <w:r w:rsidRPr="00CD7A92">
        <w:rPr>
          <w:lang w:val="ru-RU"/>
        </w:rPr>
        <w:t>2</w:t>
      </w:r>
      <w:r>
        <w:t>G</w:t>
      </w:r>
      <w:r w:rsidRPr="00CD7A92">
        <w:rPr>
          <w:lang w:val="ru-RU"/>
        </w:rPr>
        <w:t xml:space="preserve">12. </w:t>
      </w:r>
      <w:r>
        <w:rPr>
          <w:lang w:val="uk-UA" w:eastAsia="uk-UA" w:bidi="uk-UA"/>
        </w:rPr>
        <w:t xml:space="preserve">- </w:t>
      </w:r>
      <w:r w:rsidRPr="00CD7A92">
        <w:rPr>
          <w:lang w:val="ru-RU"/>
        </w:rPr>
        <w:t>№1</w:t>
      </w:r>
      <w:r>
        <w:t>G</w:t>
      </w:r>
      <w:r w:rsidRPr="00CD7A92">
        <w:rPr>
          <w:lang w:val="ru-RU"/>
        </w:rPr>
        <w:t xml:space="preserve">6. </w:t>
      </w:r>
      <w:r>
        <w:rPr>
          <w:lang w:val="uk-UA" w:eastAsia="uk-UA" w:bidi="uk-UA"/>
        </w:rPr>
        <w:t xml:space="preserve">- </w:t>
      </w:r>
      <w:r>
        <w:rPr>
          <w:lang w:val="ru-RU" w:eastAsia="ru-RU" w:bidi="ru-RU"/>
        </w:rPr>
        <w:t xml:space="preserve">С. </w:t>
      </w:r>
      <w:r>
        <w:rPr>
          <w:lang w:val="uk-UA" w:eastAsia="uk-UA" w:bidi="uk-UA"/>
        </w:rPr>
        <w:t>111-123.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ind w:left="40" w:right="60" w:firstLine="580"/>
        <w:rPr>
          <w:lang w:val="ru-RU"/>
        </w:rPr>
      </w:pPr>
      <w:r>
        <w:rPr>
          <w:lang w:val="uk-UA" w:eastAsia="uk-UA" w:bidi="uk-UA"/>
        </w:rPr>
        <w:t xml:space="preserve"> Возняк, О. Т. Реконструкція у теплозабезпеченні [Текст] / </w:t>
      </w:r>
      <w:r>
        <w:rPr>
          <w:lang w:val="ru-RU" w:eastAsia="ru-RU" w:bidi="ru-RU"/>
        </w:rPr>
        <w:t xml:space="preserve">О. Т. </w:t>
      </w:r>
      <w:r>
        <w:rPr>
          <w:lang w:val="uk-UA" w:eastAsia="uk-UA" w:bidi="uk-UA"/>
        </w:rPr>
        <w:t xml:space="preserve">Возняк, В. М. Желих, Ю. </w:t>
      </w:r>
      <w:r>
        <w:rPr>
          <w:lang w:val="ru-RU" w:eastAsia="ru-RU" w:bidi="ru-RU"/>
        </w:rPr>
        <w:t xml:space="preserve">С. </w:t>
      </w:r>
      <w:r>
        <w:rPr>
          <w:lang w:val="uk-UA" w:eastAsia="uk-UA" w:bidi="uk-UA"/>
        </w:rPr>
        <w:t>Ю</w:t>
      </w:r>
      <w:r>
        <w:rPr>
          <w:lang w:val="uk-UA" w:eastAsia="uk-UA" w:bidi="uk-UA"/>
        </w:rPr>
        <w:t>ркевич //</w:t>
      </w:r>
      <w:r>
        <w:rPr>
          <w:lang w:val="ru-RU" w:eastAsia="ru-RU" w:bidi="ru-RU"/>
        </w:rPr>
        <w:t xml:space="preserve">Энергосбережение. </w:t>
      </w:r>
      <w:r>
        <w:rPr>
          <w:lang w:val="uk-UA" w:eastAsia="uk-UA" w:bidi="uk-UA"/>
        </w:rPr>
        <w:t xml:space="preserve">- </w:t>
      </w:r>
      <w:r w:rsidRPr="00CD7A92">
        <w:rPr>
          <w:lang w:val="ru-RU"/>
        </w:rPr>
        <w:t>2</w:t>
      </w:r>
      <w:r>
        <w:t>G</w:t>
      </w:r>
      <w:r w:rsidRPr="00CD7A92">
        <w:rPr>
          <w:lang w:val="ru-RU"/>
        </w:rPr>
        <w:t xml:space="preserve">12. </w:t>
      </w:r>
      <w:r>
        <w:rPr>
          <w:lang w:val="uk-UA" w:eastAsia="uk-UA" w:bidi="uk-UA"/>
        </w:rPr>
        <w:t xml:space="preserve">- № 11. - </w:t>
      </w:r>
      <w:r>
        <w:rPr>
          <w:lang w:val="ru-RU" w:eastAsia="ru-RU" w:bidi="ru-RU"/>
        </w:rPr>
        <w:t xml:space="preserve">С. </w:t>
      </w:r>
      <w:r>
        <w:rPr>
          <w:lang w:val="uk-UA" w:eastAsia="uk-UA" w:bidi="uk-UA"/>
        </w:rPr>
        <w:t>22-24.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tabs>
          <w:tab w:val="right" w:pos="8752"/>
        </w:tabs>
        <w:ind w:left="40" w:right="60" w:firstLine="580"/>
        <w:rPr>
          <w:lang w:val="uk-UA"/>
        </w:rPr>
      </w:pPr>
      <w:r>
        <w:rPr>
          <w:lang w:val="uk-UA" w:eastAsia="uk-UA" w:bidi="uk-UA"/>
        </w:rPr>
        <w:t xml:space="preserve"> Довбуш О. Особливості енергетичного аудиту житлових і громадських будинків / О.Довбуш, О.Возняк,</w:t>
      </w:r>
      <w:r>
        <w:rPr>
          <w:lang w:val="uk-UA" w:eastAsia="uk-UA" w:bidi="uk-UA"/>
        </w:rPr>
        <w:tab/>
        <w:t xml:space="preserve">Ю.Юркевич, В .Желих //Ринок інсталяцій. - </w:t>
      </w:r>
      <w:r w:rsidRPr="00CD7A92">
        <w:rPr>
          <w:lang w:val="uk-UA"/>
        </w:rPr>
        <w:t>2</w:t>
      </w:r>
      <w:r>
        <w:t>GG</w:t>
      </w:r>
      <w:r w:rsidRPr="00CD7A92">
        <w:rPr>
          <w:lang w:val="uk-UA"/>
        </w:rPr>
        <w:t xml:space="preserve">3. </w:t>
      </w:r>
      <w:r>
        <w:rPr>
          <w:lang w:val="uk-UA" w:eastAsia="uk-UA" w:bidi="uk-UA"/>
        </w:rPr>
        <w:t>- №1. - С.6-7.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tabs>
          <w:tab w:val="right" w:pos="9942"/>
          <w:tab w:val="right" w:pos="9942"/>
        </w:tabs>
        <w:ind w:left="40" w:firstLine="580"/>
        <w:rPr>
          <w:lang w:val="ru-RU"/>
        </w:rPr>
      </w:pPr>
      <w:r>
        <w:rPr>
          <w:lang w:val="uk-UA" w:eastAsia="uk-UA" w:bidi="uk-UA"/>
        </w:rPr>
        <w:t xml:space="preserve">Копець </w:t>
      </w:r>
      <w:r>
        <w:rPr>
          <w:lang w:val="ru-RU" w:eastAsia="ru-RU" w:bidi="ru-RU"/>
        </w:rPr>
        <w:t xml:space="preserve">Г. </w:t>
      </w:r>
      <w:r>
        <w:rPr>
          <w:lang w:val="uk-UA" w:eastAsia="uk-UA" w:bidi="uk-UA"/>
        </w:rPr>
        <w:t>Р.</w:t>
      </w:r>
      <w:r>
        <w:rPr>
          <w:lang w:val="uk-UA" w:eastAsia="uk-UA" w:bidi="uk-UA"/>
        </w:rPr>
        <w:tab/>
        <w:t xml:space="preserve">Вирішення проблем </w:t>
      </w:r>
      <w:r>
        <w:rPr>
          <w:lang w:val="uk-UA" w:eastAsia="uk-UA" w:bidi="uk-UA"/>
        </w:rPr>
        <w:t>енергоефективності в Україні /</w:t>
      </w:r>
      <w:r>
        <w:rPr>
          <w:lang w:val="ru-RU" w:eastAsia="ru-RU" w:bidi="ru-RU"/>
        </w:rPr>
        <w:t xml:space="preserve">Г. </w:t>
      </w:r>
      <w:r>
        <w:rPr>
          <w:lang w:val="uk-UA" w:eastAsia="uk-UA" w:bidi="uk-UA"/>
        </w:rPr>
        <w:t>Р. Копець //Вісник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shd w:val="clear" w:color="auto" w:fill="auto"/>
        <w:ind w:left="40" w:right="60"/>
        <w:rPr>
          <w:lang w:val="ru-RU"/>
        </w:rPr>
      </w:pPr>
      <w:r>
        <w:rPr>
          <w:lang w:val="ru-RU" w:eastAsia="ru-RU" w:bidi="ru-RU"/>
        </w:rPr>
        <w:t xml:space="preserve">нац. ун-ту </w:t>
      </w:r>
      <w:r>
        <w:rPr>
          <w:lang w:val="uk-UA" w:eastAsia="uk-UA" w:bidi="uk-UA"/>
        </w:rPr>
        <w:t xml:space="preserve">„Львівська політехніка ”. - </w:t>
      </w:r>
      <w:r w:rsidRPr="00CD7A92">
        <w:rPr>
          <w:lang w:val="ru-RU"/>
        </w:rPr>
        <w:t>2</w:t>
      </w:r>
      <w:r>
        <w:t>GG</w:t>
      </w:r>
      <w:r w:rsidRPr="00CD7A92">
        <w:rPr>
          <w:lang w:val="ru-RU"/>
        </w:rPr>
        <w:t xml:space="preserve">7. </w:t>
      </w:r>
      <w:r>
        <w:rPr>
          <w:lang w:val="uk-UA" w:eastAsia="uk-UA" w:bidi="uk-UA"/>
        </w:rPr>
        <w:t>- № 582. - Проблеми економіки та управління. - С. 45.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ind w:left="40" w:right="60" w:firstLine="580"/>
        <w:rPr>
          <w:lang w:val="uk-UA"/>
        </w:rPr>
      </w:pPr>
      <w:r>
        <w:rPr>
          <w:lang w:val="uk-UA" w:eastAsia="uk-UA" w:bidi="uk-UA"/>
        </w:rPr>
        <w:t xml:space="preserve"> Онищук Г. І. Енергозбереження в міському господарстві - ключове питання регіонів високої енергоресурсної</w:t>
      </w:r>
      <w:r>
        <w:rPr>
          <w:lang w:val="uk-UA" w:eastAsia="uk-UA" w:bidi="uk-UA"/>
        </w:rPr>
        <w:t xml:space="preserve"> ефективності /Г. І. Онищук // </w:t>
      </w:r>
      <w:r w:rsidRPr="00CD7A92">
        <w:rPr>
          <w:lang w:val="uk-UA" w:eastAsia="ru-RU" w:bidi="ru-RU"/>
        </w:rPr>
        <w:t>Энергосбережение</w:t>
      </w:r>
      <w:r>
        <w:rPr>
          <w:lang w:val="uk-UA" w:eastAsia="uk-UA" w:bidi="uk-UA"/>
        </w:rPr>
        <w:t xml:space="preserve">. - </w:t>
      </w:r>
      <w:r w:rsidRPr="00CD7A92">
        <w:rPr>
          <w:lang w:val="uk-UA"/>
        </w:rPr>
        <w:t>2</w:t>
      </w:r>
      <w:r>
        <w:t>GG</w:t>
      </w:r>
      <w:r w:rsidRPr="00CD7A92">
        <w:rPr>
          <w:lang w:val="uk-UA"/>
        </w:rPr>
        <w:t xml:space="preserve">7. </w:t>
      </w:r>
      <w:r>
        <w:rPr>
          <w:lang w:val="uk-UA" w:eastAsia="uk-UA" w:bidi="uk-UA"/>
        </w:rPr>
        <w:t xml:space="preserve">- № О. - </w:t>
      </w:r>
      <w:r w:rsidRPr="00CD7A92">
        <w:rPr>
          <w:lang w:val="uk-UA" w:eastAsia="ru-RU" w:bidi="ru-RU"/>
        </w:rPr>
        <w:t>С</w:t>
      </w:r>
      <w:r>
        <w:rPr>
          <w:lang w:val="uk-UA" w:eastAsia="uk-UA" w:bidi="uk-UA"/>
        </w:rPr>
        <w:t>. 22 - 26.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1"/>
        </w:numPr>
        <w:shd w:val="clear" w:color="auto" w:fill="auto"/>
        <w:tabs>
          <w:tab w:val="right" w:pos="2185"/>
          <w:tab w:val="right" w:pos="9942"/>
        </w:tabs>
        <w:ind w:left="40" w:firstLine="580"/>
        <w:rPr>
          <w:lang w:val="ru-RU"/>
        </w:rPr>
      </w:pPr>
      <w:r>
        <w:rPr>
          <w:lang w:val="uk-UA" w:eastAsia="uk-UA" w:bidi="uk-UA"/>
        </w:rPr>
        <w:t xml:space="preserve">Качала </w:t>
      </w:r>
      <w:r>
        <w:rPr>
          <w:lang w:val="ru-RU" w:eastAsia="ru-RU" w:bidi="ru-RU"/>
        </w:rPr>
        <w:t>Т.</w:t>
      </w:r>
      <w:r>
        <w:rPr>
          <w:lang w:val="ru-RU" w:eastAsia="ru-RU" w:bidi="ru-RU"/>
        </w:rPr>
        <w:tab/>
        <w:t xml:space="preserve">Реформирование жилищно-коммунального хозяйства </w:t>
      </w:r>
      <w:r>
        <w:rPr>
          <w:lang w:val="uk-UA" w:eastAsia="uk-UA" w:bidi="uk-UA"/>
        </w:rPr>
        <w:t>в контексте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shd w:val="clear" w:color="auto" w:fill="auto"/>
        <w:ind w:left="40" w:right="60"/>
        <w:rPr>
          <w:lang w:val="ru-RU"/>
        </w:rPr>
      </w:pPr>
      <w:r>
        <w:rPr>
          <w:lang w:val="ru-RU" w:eastAsia="ru-RU" w:bidi="ru-RU"/>
        </w:rPr>
        <w:t xml:space="preserve">регионального </w:t>
      </w:r>
      <w:r>
        <w:rPr>
          <w:lang w:val="uk-UA" w:eastAsia="uk-UA" w:bidi="uk-UA"/>
        </w:rPr>
        <w:t xml:space="preserve">развития/Т. Качала // </w:t>
      </w:r>
      <w:r>
        <w:rPr>
          <w:lang w:val="ru-RU" w:eastAsia="ru-RU" w:bidi="ru-RU"/>
        </w:rPr>
        <w:t>Экономика Украины. -К.</w:t>
      </w:r>
      <w:r>
        <w:rPr>
          <w:lang w:val="uk-UA" w:eastAsia="uk-UA" w:bidi="uk-UA"/>
        </w:rPr>
        <w:t>:</w:t>
      </w:r>
      <w:r>
        <w:rPr>
          <w:lang w:val="ru-RU" w:eastAsia="ru-RU" w:bidi="ru-RU"/>
        </w:rPr>
        <w:t xml:space="preserve">Издательство </w:t>
      </w:r>
      <w:r>
        <w:rPr>
          <w:lang w:val="uk-UA" w:eastAsia="uk-UA" w:bidi="uk-UA"/>
        </w:rPr>
        <w:t xml:space="preserve">"Преса України", </w:t>
      </w:r>
      <w:r w:rsidRPr="00CD7A92">
        <w:rPr>
          <w:lang w:val="ru-RU"/>
        </w:rPr>
        <w:t>2</w:t>
      </w:r>
      <w:r>
        <w:t>G</w:t>
      </w:r>
      <w:r w:rsidRPr="00CD7A92">
        <w:rPr>
          <w:lang w:val="ru-RU"/>
        </w:rPr>
        <w:t xml:space="preserve">10, </w:t>
      </w:r>
      <w:r>
        <w:rPr>
          <w:lang w:val="uk-UA" w:eastAsia="uk-UA" w:bidi="uk-UA"/>
        </w:rPr>
        <w:t>№ О.-С.84-О3.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2"/>
        </w:numPr>
        <w:shd w:val="clear" w:color="auto" w:fill="auto"/>
        <w:tabs>
          <w:tab w:val="right" w:pos="2185"/>
          <w:tab w:val="right" w:pos="9942"/>
        </w:tabs>
        <w:ind w:left="40" w:firstLine="580"/>
        <w:rPr>
          <w:lang w:val="ru-RU"/>
        </w:rPr>
      </w:pPr>
      <w:r>
        <w:rPr>
          <w:lang w:val="uk-UA" w:eastAsia="uk-UA" w:bidi="uk-UA"/>
        </w:rPr>
        <w:t>«Програма</w:t>
      </w:r>
      <w:r>
        <w:rPr>
          <w:lang w:val="uk-UA" w:eastAsia="uk-UA" w:bidi="uk-UA"/>
        </w:rPr>
        <w:tab/>
        <w:t xml:space="preserve">енергозбереження для населення Львівщини на </w:t>
      </w:r>
      <w:r w:rsidRPr="00CD7A92">
        <w:rPr>
          <w:lang w:val="ru-RU"/>
        </w:rPr>
        <w:t>2</w:t>
      </w:r>
      <w:r>
        <w:t>G</w:t>
      </w:r>
      <w:r w:rsidRPr="00CD7A92">
        <w:rPr>
          <w:lang w:val="ru-RU"/>
        </w:rPr>
        <w:t>13-2</w:t>
      </w:r>
      <w:r>
        <w:t>G</w:t>
      </w:r>
      <w:r w:rsidRPr="00CD7A92">
        <w:rPr>
          <w:lang w:val="ru-RU"/>
        </w:rPr>
        <w:t xml:space="preserve">16 </w:t>
      </w:r>
      <w:r>
        <w:rPr>
          <w:lang w:val="uk-UA" w:eastAsia="uk-UA" w:bidi="uk-UA"/>
        </w:rPr>
        <w:t>роки»,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shd w:val="clear" w:color="auto" w:fill="auto"/>
        <w:ind w:left="40"/>
        <w:rPr>
          <w:lang w:val="ru-RU"/>
        </w:rPr>
      </w:pPr>
      <w:r>
        <w:rPr>
          <w:lang w:val="uk-UA" w:eastAsia="uk-UA" w:bidi="uk-UA"/>
        </w:rPr>
        <w:t xml:space="preserve">затверджена рішенням Львівської обласної ради від </w:t>
      </w:r>
      <w:r w:rsidRPr="00CD7A92">
        <w:rPr>
          <w:lang w:val="ru-RU"/>
        </w:rPr>
        <w:t>10.</w:t>
      </w:r>
      <w:r>
        <w:t>G</w:t>
      </w:r>
      <w:r w:rsidRPr="00CD7A92">
        <w:rPr>
          <w:lang w:val="ru-RU"/>
        </w:rPr>
        <w:t>3.2</w:t>
      </w:r>
      <w:r>
        <w:t>G</w:t>
      </w:r>
      <w:r w:rsidRPr="00CD7A92">
        <w:rPr>
          <w:lang w:val="ru-RU"/>
        </w:rPr>
        <w:t>13 №68</w:t>
      </w:r>
      <w:r>
        <w:t>G</w:t>
      </w:r>
      <w:r w:rsidRPr="00CD7A92">
        <w:rPr>
          <w:lang w:val="ru-RU"/>
        </w:rPr>
        <w:t>.</w:t>
      </w:r>
    </w:p>
    <w:p w:rsidR="009D2C52" w:rsidRPr="00CD7A92" w:rsidRDefault="000B1DC4">
      <w:pPr>
        <w:pStyle w:val="60"/>
        <w:framePr w:w="10018" w:h="13848" w:hRule="exact" w:wrap="around" w:vAnchor="page" w:hAnchor="page" w:x="964" w:y="1234"/>
        <w:shd w:val="clear" w:color="auto" w:fill="auto"/>
        <w:spacing w:after="240"/>
        <w:ind w:left="40" w:right="60" w:firstLine="580"/>
        <w:rPr>
          <w:lang w:val="ru-RU"/>
        </w:rPr>
      </w:pPr>
      <w:r w:rsidRPr="00CD7A92">
        <w:rPr>
          <w:lang w:val="ru-RU"/>
        </w:rPr>
        <w:t>1</w:t>
      </w:r>
      <w:r>
        <w:t>G</w:t>
      </w:r>
      <w:r w:rsidRPr="00CD7A92">
        <w:rPr>
          <w:lang w:val="ru-RU"/>
        </w:rPr>
        <w:t xml:space="preserve">. </w:t>
      </w:r>
      <w:r>
        <w:rPr>
          <w:lang w:val="uk-UA" w:eastAsia="uk-UA" w:bidi="uk-UA"/>
        </w:rPr>
        <w:t xml:space="preserve">Аналітичний звіт за підсумками експертного аналізу діяльності органів державної влади і місцевого самоврядування за </w:t>
      </w:r>
      <w:r w:rsidRPr="00CD7A92">
        <w:rPr>
          <w:lang w:val="ru-RU"/>
        </w:rPr>
        <w:t>2</w:t>
      </w:r>
      <w:r>
        <w:t>GG</w:t>
      </w:r>
      <w:r w:rsidRPr="00CD7A92">
        <w:rPr>
          <w:lang w:val="ru-RU"/>
        </w:rPr>
        <w:t>0-2</w:t>
      </w:r>
      <w:r>
        <w:t>G</w:t>
      </w:r>
      <w:r w:rsidRPr="00CD7A92">
        <w:rPr>
          <w:lang w:val="ru-RU"/>
        </w:rPr>
        <w:t>1</w:t>
      </w:r>
      <w:r>
        <w:t>G</w:t>
      </w:r>
      <w:r>
        <w:rPr>
          <w:lang w:val="uk-UA" w:eastAsia="uk-UA" w:bidi="uk-UA"/>
        </w:rPr>
        <w:t xml:space="preserve">роки у сфері енергозбереження в житлово-комунальному господарстві Львівської області. - Львів, </w:t>
      </w:r>
      <w:r w:rsidRPr="00CD7A92">
        <w:rPr>
          <w:lang w:val="ru-RU"/>
        </w:rPr>
        <w:t>2</w:t>
      </w:r>
      <w:r>
        <w:t>G</w:t>
      </w:r>
      <w:r w:rsidRPr="00CD7A92">
        <w:rPr>
          <w:lang w:val="ru-RU"/>
        </w:rPr>
        <w:t xml:space="preserve">11. </w:t>
      </w:r>
      <w:r>
        <w:rPr>
          <w:lang w:val="uk-UA" w:eastAsia="uk-UA" w:bidi="uk-UA"/>
        </w:rPr>
        <w:t>- 88 с.</w:t>
      </w:r>
    </w:p>
    <w:p w:rsidR="009D2C52" w:rsidRDefault="000B1DC4">
      <w:pPr>
        <w:pStyle w:val="10"/>
        <w:framePr w:w="10018" w:h="13848" w:hRule="exact" w:wrap="around" w:vAnchor="page" w:hAnchor="page" w:x="964" w:y="1234"/>
        <w:shd w:val="clear" w:color="auto" w:fill="auto"/>
        <w:spacing w:before="0"/>
        <w:ind w:left="20"/>
      </w:pPr>
      <w:bookmarkStart w:id="0" w:name="bookmark0"/>
      <w:r>
        <w:t>References</w:t>
      </w:r>
      <w:bookmarkEnd w:id="0"/>
    </w:p>
    <w:p w:rsidR="009D2C5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2"/>
        </w:numPr>
        <w:shd w:val="clear" w:color="auto" w:fill="auto"/>
        <w:ind w:left="40" w:right="60" w:firstLine="580"/>
      </w:pPr>
      <w:r>
        <w:rPr>
          <w:lang w:val="uk-UA" w:eastAsia="uk-UA" w:bidi="uk-UA"/>
        </w:rPr>
        <w:t xml:space="preserve"> </w:t>
      </w:r>
      <w:r>
        <w:t xml:space="preserve">Lysiuk, </w:t>
      </w:r>
      <w:r>
        <w:rPr>
          <w:lang w:val="uk-UA" w:eastAsia="uk-UA" w:bidi="uk-UA"/>
        </w:rPr>
        <w:t xml:space="preserve">V, </w:t>
      </w:r>
      <w:r>
        <w:t>Butyn, E., &amp; Azhnankin I. (2G1G). Principles of bringing the level of energy savings in housing to international standards, Academic Review (Vol. 2, no. 33, pp. 1G8-114). Ukraine, Dnipropetrovsk.</w:t>
      </w:r>
    </w:p>
    <w:p w:rsidR="009D2C5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2"/>
        </w:numPr>
        <w:shd w:val="clear" w:color="auto" w:fill="auto"/>
        <w:ind w:left="40" w:right="60" w:firstLine="580"/>
      </w:pPr>
      <w:r>
        <w:t xml:space="preserve"> Maliarenko V. (2GG4). Energy and resource conservation i</w:t>
      </w:r>
      <w:r>
        <w:t>n reformuvanni Housing and Communal Services of Ukraine, Integrated technologies and energy efficiency (Vol. 1, pp. 3-8). Ukraine, Kharkiv.</w:t>
      </w:r>
    </w:p>
    <w:p w:rsidR="009D2C5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2"/>
        </w:numPr>
        <w:shd w:val="clear" w:color="auto" w:fill="auto"/>
        <w:ind w:left="40" w:right="60" w:firstLine="580"/>
      </w:pPr>
      <w:r>
        <w:t xml:space="preserve"> Titiaiev, V., &amp; Hetalo, N. (2G12). Boosting investment attractiveness of energy efficiency in housing and communal </w:t>
      </w:r>
      <w:r>
        <w:t>services, Utilities city: Scientific and Technical Collection (Vol. 1G6, pp. 111</w:t>
      </w:r>
      <w:r>
        <w:softHyphen/>
        <w:t>123). Ukraine, Kharkiv.</w:t>
      </w:r>
    </w:p>
    <w:p w:rsidR="009D2C5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2"/>
        </w:numPr>
        <w:shd w:val="clear" w:color="auto" w:fill="auto"/>
        <w:ind w:left="40" w:right="60" w:firstLine="580"/>
      </w:pPr>
      <w:r>
        <w:t xml:space="preserve"> Vozniak, O, Zhelykh, V, &amp; Yurkevych Y. (2G12). Reconstruction of heating, Energy Saving (Vol. 11, pp. 22-24).Ukraine, Donetsk.</w:t>
      </w:r>
    </w:p>
    <w:p w:rsidR="009D2C52" w:rsidRDefault="000B1DC4">
      <w:pPr>
        <w:pStyle w:val="60"/>
        <w:framePr w:w="10018" w:h="13848" w:hRule="exact" w:wrap="around" w:vAnchor="page" w:hAnchor="page" w:x="964" w:y="1234"/>
        <w:numPr>
          <w:ilvl w:val="0"/>
          <w:numId w:val="2"/>
        </w:numPr>
        <w:shd w:val="clear" w:color="auto" w:fill="auto"/>
        <w:ind w:left="40" w:right="60" w:firstLine="580"/>
      </w:pPr>
      <w:r>
        <w:t xml:space="preserve"> Dovbush, O., Vozniak, </w:t>
      </w:r>
      <w:r>
        <w:t>O, Zhelykh, V, &amp; Yurkevych Y. (2GG3). Features an energy audit of residential and public buildings, Market installations (Vol. 1, pp. 6-7). Ukraine, Lviv.</w:t>
      </w:r>
    </w:p>
    <w:p w:rsidR="009D2C52" w:rsidRDefault="000B1DC4">
      <w:pPr>
        <w:pStyle w:val="a7"/>
        <w:framePr w:wrap="around" w:vAnchor="page" w:hAnchor="page" w:x="973" w:y="15711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74</w:t>
      </w:r>
    </w:p>
    <w:p w:rsidR="009D2C52" w:rsidRDefault="009D2C52">
      <w:pPr>
        <w:rPr>
          <w:sz w:val="2"/>
          <w:szCs w:val="2"/>
        </w:rPr>
        <w:sectPr w:rsidR="009D2C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2C52" w:rsidRDefault="000B1DC4">
      <w:pPr>
        <w:pStyle w:val="60"/>
        <w:framePr w:w="9941" w:h="2813" w:hRule="exact" w:wrap="around" w:vAnchor="page" w:hAnchor="page" w:x="1002" w:y="1142"/>
        <w:numPr>
          <w:ilvl w:val="0"/>
          <w:numId w:val="2"/>
        </w:numPr>
        <w:shd w:val="clear" w:color="auto" w:fill="auto"/>
        <w:ind w:left="20" w:right="20" w:firstLine="580"/>
        <w:jc w:val="left"/>
      </w:pPr>
      <w:r>
        <w:lastRenderedPageBreak/>
        <w:t xml:space="preserve"> Kopets, H. (2007). Addressing energy efficiency in Ukraine, Bulletin of the National University "LvivPolytechnic" (Vol. 582, pp. 45). Ukraine, Lviv.</w:t>
      </w:r>
    </w:p>
    <w:p w:rsidR="009D2C52" w:rsidRDefault="000B1DC4">
      <w:pPr>
        <w:pStyle w:val="60"/>
        <w:framePr w:w="9941" w:h="2813" w:hRule="exact" w:wrap="around" w:vAnchor="page" w:hAnchor="page" w:x="1002" w:y="1142"/>
        <w:numPr>
          <w:ilvl w:val="0"/>
          <w:numId w:val="2"/>
        </w:numPr>
        <w:shd w:val="clear" w:color="auto" w:fill="auto"/>
        <w:ind w:left="20" w:right="20" w:firstLine="580"/>
        <w:jc w:val="left"/>
      </w:pPr>
      <w:r>
        <w:t xml:space="preserve"> Onyshchuk, H. (2007). Energy efficiency in municipal services - key issues regions of high efficiency ene</w:t>
      </w:r>
      <w:r>
        <w:t>rgy resources, Energy Saving (Vol. 9, pp. 22-26).Ukraine, Donetsk.</w:t>
      </w:r>
    </w:p>
    <w:p w:rsidR="009D2C52" w:rsidRDefault="000B1DC4">
      <w:pPr>
        <w:pStyle w:val="60"/>
        <w:framePr w:w="9941" w:h="2813" w:hRule="exact" w:wrap="around" w:vAnchor="page" w:hAnchor="page" w:x="1002" w:y="1142"/>
        <w:numPr>
          <w:ilvl w:val="0"/>
          <w:numId w:val="2"/>
        </w:numPr>
        <w:shd w:val="clear" w:color="auto" w:fill="auto"/>
        <w:ind w:left="20" w:right="20" w:firstLine="580"/>
        <w:jc w:val="left"/>
      </w:pPr>
      <w:r>
        <w:t xml:space="preserve"> Kachala, T. (2010). Reforming of housing and communal services in the context of regional development, Economy of Ukraine Publishing "Presa Ukrainy" (Vol. 9, pp. 84-93).Ukraine, Kyiv.</w:t>
      </w:r>
    </w:p>
    <w:p w:rsidR="009D2C52" w:rsidRDefault="000B1DC4">
      <w:pPr>
        <w:pStyle w:val="60"/>
        <w:framePr w:w="9941" w:h="2813" w:hRule="exact" w:wrap="around" w:vAnchor="page" w:hAnchor="page" w:x="1002" w:y="1142"/>
        <w:numPr>
          <w:ilvl w:val="0"/>
          <w:numId w:val="2"/>
        </w:numPr>
        <w:shd w:val="clear" w:color="auto" w:fill="auto"/>
        <w:ind w:left="20" w:right="20" w:firstLine="580"/>
        <w:jc w:val="left"/>
      </w:pPr>
      <w:r>
        <w:t xml:space="preserve"> "En</w:t>
      </w:r>
      <w:r>
        <w:t>ergy Efficiency Program for the population of Lviv in 2013-2016 years" approved by the Lviv Regional Council of 19.03.2013№ 680.</w:t>
      </w:r>
    </w:p>
    <w:p w:rsidR="009D2C52" w:rsidRDefault="000B1DC4">
      <w:pPr>
        <w:pStyle w:val="60"/>
        <w:framePr w:w="9941" w:h="2813" w:hRule="exact" w:wrap="around" w:vAnchor="page" w:hAnchor="page" w:x="1002" w:y="1142"/>
        <w:numPr>
          <w:ilvl w:val="0"/>
          <w:numId w:val="2"/>
        </w:numPr>
        <w:shd w:val="clear" w:color="auto" w:fill="auto"/>
        <w:ind w:left="20" w:right="20" w:firstLine="580"/>
        <w:jc w:val="left"/>
      </w:pPr>
      <w:r>
        <w:t xml:space="preserve"> Analytical report on expert analysis of activities of state and local governments for 2009</w:t>
      </w:r>
      <w:r>
        <w:softHyphen/>
        <w:t>2010 in the field of energy efficie</w:t>
      </w:r>
      <w:r>
        <w:t>ncy in housing Lviv region. - Lviv, 2011. - 88p.</w:t>
      </w:r>
    </w:p>
    <w:p w:rsidR="009D2C52" w:rsidRDefault="000B1DC4">
      <w:pPr>
        <w:pStyle w:val="a7"/>
        <w:framePr w:wrap="around" w:vAnchor="page" w:hAnchor="page" w:x="973" w:y="15663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1818-2682. </w:t>
      </w:r>
      <w:r>
        <w:t xml:space="preserve">Наука молода, </w:t>
      </w:r>
      <w:r>
        <w:rPr>
          <w:lang w:val="en-US" w:eastAsia="en-US" w:bidi="en-US"/>
        </w:rPr>
        <w:t xml:space="preserve">2015 </w:t>
      </w:r>
      <w:r>
        <w:t xml:space="preserve">рік. </w:t>
      </w:r>
      <w:r>
        <w:rPr>
          <w:lang w:val="en-US" w:eastAsia="en-US" w:bidi="en-US"/>
        </w:rPr>
        <w:t>№ 22</w:t>
      </w:r>
    </w:p>
    <w:p w:rsidR="009D2C52" w:rsidRDefault="000B1DC4">
      <w:pPr>
        <w:pStyle w:val="a7"/>
        <w:framePr w:wrap="around" w:vAnchor="page" w:hAnchor="page" w:x="10693" w:y="15668"/>
        <w:shd w:val="clear" w:color="auto" w:fill="auto"/>
        <w:spacing w:line="170" w:lineRule="exact"/>
        <w:ind w:left="20"/>
      </w:pPr>
      <w:r>
        <w:t>75</w:t>
      </w:r>
    </w:p>
    <w:p w:rsidR="009D2C52" w:rsidRDefault="009D2C52">
      <w:pPr>
        <w:rPr>
          <w:sz w:val="2"/>
          <w:szCs w:val="2"/>
        </w:rPr>
      </w:pPr>
    </w:p>
    <w:sectPr w:rsidR="009D2C52" w:rsidSect="009D2C5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C4" w:rsidRDefault="000B1DC4" w:rsidP="009D2C52">
      <w:r>
        <w:separator/>
      </w:r>
    </w:p>
  </w:endnote>
  <w:endnote w:type="continuationSeparator" w:id="1">
    <w:p w:rsidR="000B1DC4" w:rsidRDefault="000B1DC4" w:rsidP="009D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C4" w:rsidRDefault="000B1DC4"/>
  </w:footnote>
  <w:footnote w:type="continuationSeparator" w:id="1">
    <w:p w:rsidR="000B1DC4" w:rsidRDefault="000B1D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4FB"/>
    <w:multiLevelType w:val="multilevel"/>
    <w:tmpl w:val="9E0CC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45E3D"/>
    <w:multiLevelType w:val="multilevel"/>
    <w:tmpl w:val="124E794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2C52"/>
    <w:rsid w:val="000B1DC4"/>
    <w:rsid w:val="009D2C52"/>
    <w:rsid w:val="00C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43"/>
        <o:r id="V:Rule4" type="connector" idref="#_x0000_s1042"/>
        <o:r id="V:Rule5" type="connector" idref="#_x0000_s1041"/>
        <o:r id="V:Rule6" type="connector" idref="#_x0000_s1040"/>
        <o:r id="V:Rule7" type="connector" idref="#_x0000_s1039"/>
        <o:r id="V:Rule8" type="connector" idref="#_x0000_s1038"/>
        <o:r id="V:Rule9" type="connector" idref="#_x0000_s1037"/>
        <o:r id="V:Rule10" type="connector" idref="#_x0000_s1036"/>
        <o:r id="V:Rule11" type="connector" idref="#_x0000_s1035"/>
        <o:r id="V:Rule12" type="connector" idref="#_x0000_s1034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C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C52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9D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ий текст_"/>
    <w:basedOn w:val="a0"/>
    <w:link w:val="a5"/>
    <w:rsid w:val="009D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9D2C52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">
    <w:name w:val="Основний текст (4)_"/>
    <w:basedOn w:val="a0"/>
    <w:link w:val="40"/>
    <w:rsid w:val="009D2C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0pt">
    <w:name w:val="Основний текст (4) + Напівжирний;Інтервал 0 pt"/>
    <w:basedOn w:val="4"/>
    <w:rsid w:val="009D2C5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9D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8">
    <w:name w:val="Основний текст + Напівжирний"/>
    <w:basedOn w:val="a4"/>
    <w:rsid w:val="009D2C52"/>
    <w:rPr>
      <w:b/>
      <w:bCs/>
      <w:color w:val="000000"/>
      <w:w w:val="100"/>
      <w:position w:val="0"/>
      <w:lang w:val="uk-UA" w:eastAsia="uk-UA" w:bidi="uk-UA"/>
    </w:rPr>
  </w:style>
  <w:style w:type="character" w:customStyle="1" w:styleId="a9">
    <w:name w:val="Підпис до зображення_"/>
    <w:basedOn w:val="a0"/>
    <w:link w:val="aa"/>
    <w:rsid w:val="009D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Підпис до зображення (2)_"/>
    <w:basedOn w:val="a0"/>
    <w:link w:val="22"/>
    <w:rsid w:val="009D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Підпис до таблиці_"/>
    <w:basedOn w:val="a0"/>
    <w:link w:val="ac"/>
    <w:rsid w:val="009D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Підпис до таблиці"/>
    <w:basedOn w:val="ab"/>
    <w:rsid w:val="009D2C52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e">
    <w:name w:val="Основний текст"/>
    <w:basedOn w:val="a4"/>
    <w:rsid w:val="009D2C52"/>
    <w:rPr>
      <w:color w:val="000000"/>
      <w:w w:val="100"/>
      <w:position w:val="0"/>
      <w:lang w:val="uk-UA" w:eastAsia="uk-UA" w:bidi="uk-UA"/>
    </w:rPr>
  </w:style>
  <w:style w:type="character" w:customStyle="1" w:styleId="af">
    <w:name w:val="Основний текст + Малі великі літери"/>
    <w:basedOn w:val="a4"/>
    <w:rsid w:val="009D2C52"/>
    <w:rPr>
      <w:smallCaps/>
      <w:color w:val="000000"/>
      <w:w w:val="100"/>
      <w:position w:val="0"/>
      <w:lang w:val="uk-UA" w:eastAsia="uk-UA" w:bidi="uk-UA"/>
    </w:rPr>
  </w:style>
  <w:style w:type="character" w:customStyle="1" w:styleId="af0">
    <w:name w:val="Основний текст + Напівжирний"/>
    <w:basedOn w:val="a4"/>
    <w:rsid w:val="009D2C52"/>
    <w:rPr>
      <w:b/>
      <w:bCs/>
      <w:color w:val="000000"/>
      <w:w w:val="100"/>
      <w:position w:val="0"/>
      <w:lang w:val="uk-UA" w:eastAsia="uk-UA" w:bidi="uk-UA"/>
    </w:rPr>
  </w:style>
  <w:style w:type="character" w:customStyle="1" w:styleId="23">
    <w:name w:val="Підпис до таблиці (2)_"/>
    <w:basedOn w:val="a0"/>
    <w:link w:val="24"/>
    <w:rsid w:val="009D2C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2"/>
      <w:szCs w:val="22"/>
      <w:u w:val="none"/>
    </w:rPr>
  </w:style>
  <w:style w:type="character" w:customStyle="1" w:styleId="25">
    <w:name w:val="Підпис до таблиці (2)"/>
    <w:basedOn w:val="23"/>
    <w:rsid w:val="009D2C52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1">
    <w:name w:val="Підпис до таблиці (3)_"/>
    <w:basedOn w:val="a0"/>
    <w:link w:val="32"/>
    <w:rsid w:val="009D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3">
    <w:name w:val="Підпис до зображення (3)_"/>
    <w:basedOn w:val="a0"/>
    <w:link w:val="34"/>
    <w:rsid w:val="009D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5">
    <w:name w:val="Підпис до зображення (3)"/>
    <w:basedOn w:val="33"/>
    <w:rsid w:val="009D2C52"/>
    <w:rPr>
      <w:color w:val="000000"/>
      <w:w w:val="100"/>
      <w:position w:val="0"/>
      <w:lang w:val="uk-UA" w:eastAsia="uk-UA" w:bidi="uk-UA"/>
    </w:rPr>
  </w:style>
  <w:style w:type="character" w:customStyle="1" w:styleId="36">
    <w:name w:val="Підпис до зображення (3)"/>
    <w:basedOn w:val="33"/>
    <w:rsid w:val="009D2C52"/>
    <w:rPr>
      <w:strike/>
      <w:color w:val="000000"/>
      <w:w w:val="100"/>
      <w:position w:val="0"/>
      <w:lang w:val="uk-UA" w:eastAsia="uk-UA" w:bidi="uk-UA"/>
    </w:rPr>
  </w:style>
  <w:style w:type="character" w:customStyle="1" w:styleId="37">
    <w:name w:val="Підпис до зображення (3)"/>
    <w:basedOn w:val="33"/>
    <w:rsid w:val="009D2C52"/>
    <w:rPr>
      <w:color w:val="000000"/>
      <w:w w:val="100"/>
      <w:position w:val="0"/>
      <w:lang w:val="uk-UA" w:eastAsia="uk-UA" w:bidi="uk-UA"/>
    </w:rPr>
  </w:style>
  <w:style w:type="character" w:customStyle="1" w:styleId="38">
    <w:name w:val="Підпис до зображення (3)"/>
    <w:basedOn w:val="33"/>
    <w:rsid w:val="009D2C52"/>
    <w:rPr>
      <w:color w:val="000000"/>
      <w:w w:val="100"/>
      <w:position w:val="0"/>
      <w:lang w:val="uk-UA" w:eastAsia="uk-UA" w:bidi="uk-UA"/>
    </w:rPr>
  </w:style>
  <w:style w:type="character" w:customStyle="1" w:styleId="39">
    <w:name w:val="Підпис до зображення (3)"/>
    <w:basedOn w:val="33"/>
    <w:rsid w:val="009D2C52"/>
    <w:rPr>
      <w:color w:val="000000"/>
      <w:w w:val="100"/>
      <w:position w:val="0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9D2C5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ий текст (6)_"/>
    <w:basedOn w:val="a0"/>
    <w:link w:val="60"/>
    <w:rsid w:val="009D2C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9D2C52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2"/>
      <w:szCs w:val="22"/>
      <w:u w:val="none"/>
      <w:lang w:val="en-US" w:eastAsia="en-US" w:bidi="en-US"/>
    </w:rPr>
  </w:style>
  <w:style w:type="paragraph" w:customStyle="1" w:styleId="20">
    <w:name w:val="Основний текст (2)"/>
    <w:basedOn w:val="a"/>
    <w:link w:val="2"/>
    <w:rsid w:val="009D2C5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5">
    <w:name w:val="Основний текст"/>
    <w:basedOn w:val="a"/>
    <w:link w:val="a4"/>
    <w:rsid w:val="009D2C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9D2C52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en-US" w:eastAsia="en-US" w:bidi="en-US"/>
    </w:rPr>
  </w:style>
  <w:style w:type="paragraph" w:customStyle="1" w:styleId="40">
    <w:name w:val="Основний текст (4)"/>
    <w:basedOn w:val="a"/>
    <w:link w:val="4"/>
    <w:rsid w:val="009D2C52"/>
    <w:pPr>
      <w:shd w:val="clear" w:color="auto" w:fill="FFFFFF"/>
      <w:spacing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17"/>
      <w:szCs w:val="17"/>
    </w:rPr>
  </w:style>
  <w:style w:type="paragraph" w:customStyle="1" w:styleId="a7">
    <w:name w:val="Колонтитул"/>
    <w:basedOn w:val="a"/>
    <w:link w:val="a6"/>
    <w:rsid w:val="009D2C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a">
    <w:name w:val="Підпис до зображення"/>
    <w:basedOn w:val="a"/>
    <w:link w:val="a9"/>
    <w:rsid w:val="009D2C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Підпис до зображення (2)"/>
    <w:basedOn w:val="a"/>
    <w:link w:val="21"/>
    <w:rsid w:val="009D2C5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c">
    <w:name w:val="Підпис до таблиці"/>
    <w:basedOn w:val="a"/>
    <w:link w:val="ab"/>
    <w:rsid w:val="009D2C5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Підпис до таблиці (2)"/>
    <w:basedOn w:val="a"/>
    <w:link w:val="23"/>
    <w:rsid w:val="009D2C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22"/>
      <w:szCs w:val="22"/>
    </w:rPr>
  </w:style>
  <w:style w:type="paragraph" w:customStyle="1" w:styleId="32">
    <w:name w:val="Підпис до таблиці (3)"/>
    <w:basedOn w:val="a"/>
    <w:link w:val="31"/>
    <w:rsid w:val="009D2C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4">
    <w:name w:val="Підпис до зображення (3)"/>
    <w:basedOn w:val="a"/>
    <w:link w:val="33"/>
    <w:rsid w:val="009D2C52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50">
    <w:name w:val="Основний текст (5)"/>
    <w:basedOn w:val="a"/>
    <w:link w:val="5"/>
    <w:rsid w:val="009D2C5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ий текст (6)"/>
    <w:basedOn w:val="a"/>
    <w:link w:val="6"/>
    <w:rsid w:val="009D2C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4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9D2C52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5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udyl@rambler.ru" TargetMode="External"/><Relationship Id="rId13" Type="http://schemas.openxmlformats.org/officeDocument/2006/relationships/image" Target="media/image3.png"/><Relationship Id="rId18" Type="http://schemas.openxmlformats.org/officeDocument/2006/relationships/image" Target="../AppData/Local/Temp/FineReader11.00/media/image5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davudyl@rambler.ru" TargetMode="External"/><Relationship Id="rId12" Type="http://schemas.openxmlformats.org/officeDocument/2006/relationships/image" Target="../AppData/Local/Temp/FineReader11.00/media/image2.pn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1.00/media/image4.png" TargetMode="External"/><Relationship Id="rId20" Type="http://schemas.openxmlformats.org/officeDocument/2006/relationships/image" Target="../AppData/Local/Temp/FineReader11.00/media/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../AppData/Local/Temp/FineReader11.00/media/image1.pn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../AppData/Local/Temp/FineReader11.00/media/image3.png" TargetMode="External"/><Relationship Id="rId22" Type="http://schemas.openxmlformats.org/officeDocument/2006/relationships/image" Target="../AppData/Local/Temp/FineReader11.00/media/image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14652</Words>
  <Characters>8352</Characters>
  <Application>Microsoft Office Word</Application>
  <DocSecurity>0</DocSecurity>
  <Lines>69</Lines>
  <Paragraphs>45</Paragraphs>
  <ScaleCrop>false</ScaleCrop>
  <Company>Microsoft</Company>
  <LinksUpToDate>false</LinksUpToDate>
  <CharactersWithSpaces>22959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2017-09-11T07:22:00Z</dcterms:created>
  <dcterms:modified xsi:type="dcterms:W3CDTF">2017-09-11T07:24:00Z</dcterms:modified>
</cp:coreProperties>
</file>