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29" w:rsidRDefault="00161CB8">
      <w:pPr>
        <w:pStyle w:val="20"/>
        <w:framePr w:wrap="around" w:vAnchor="page" w:hAnchor="page" w:x="973" w:y="1273"/>
        <w:shd w:val="clear" w:color="auto" w:fill="auto"/>
        <w:spacing w:after="0" w:line="210" w:lineRule="exact"/>
        <w:ind w:left="20"/>
      </w:pPr>
      <w:r>
        <w:t>УДК 657</w:t>
      </w:r>
    </w:p>
    <w:p w:rsidR="009B1D29" w:rsidRDefault="00161CB8">
      <w:pPr>
        <w:pStyle w:val="20"/>
        <w:framePr w:w="9989" w:h="13023" w:hRule="exact" w:wrap="around" w:vAnchor="page" w:hAnchor="page" w:x="973" w:y="1495"/>
        <w:shd w:val="clear" w:color="auto" w:fill="auto"/>
        <w:spacing w:after="0" w:line="274" w:lineRule="exact"/>
        <w:jc w:val="center"/>
      </w:pPr>
      <w:r>
        <w:t>Олег Антонович ШЕВЧУК</w:t>
      </w:r>
    </w:p>
    <w:p w:rsidR="009B1D29" w:rsidRDefault="00161CB8">
      <w:pPr>
        <w:pStyle w:val="a5"/>
        <w:framePr w:w="9989" w:h="13023" w:hRule="exact" w:wrap="around" w:vAnchor="page" w:hAnchor="page" w:x="973" w:y="1495"/>
        <w:shd w:val="clear" w:color="auto" w:fill="auto"/>
        <w:spacing w:after="291"/>
      </w:pPr>
      <w:r>
        <w:rPr>
          <w:lang w:val="ru-RU" w:eastAsia="ru-RU" w:bidi="ru-RU"/>
        </w:rPr>
        <w:t xml:space="preserve">к.е.н., старший </w:t>
      </w:r>
      <w:r>
        <w:t xml:space="preserve">викладач кафедри обліку </w:t>
      </w:r>
      <w:r>
        <w:rPr>
          <w:lang w:val="ru-RU" w:eastAsia="ru-RU" w:bidi="ru-RU"/>
        </w:rPr>
        <w:t xml:space="preserve">у </w:t>
      </w:r>
      <w:r>
        <w:t xml:space="preserve">виробничій сфері Тернопільського національного економічного університету вул. Львівська 11, м. Тернопіль, Україна. 46000 +380977207139, </w:t>
      </w:r>
      <w:hyperlink r:id="rId7" w:history="1">
        <w:r>
          <w:rPr>
            <w:rStyle w:val="a3"/>
            <w:lang w:val="en-US" w:eastAsia="en-US" w:bidi="en-US"/>
          </w:rPr>
          <w:t>ikaf@ukr.net</w:t>
        </w:r>
      </w:hyperlink>
    </w:p>
    <w:p w:rsidR="009B1D29" w:rsidRDefault="00161CB8">
      <w:pPr>
        <w:pStyle w:val="20"/>
        <w:framePr w:w="9989" w:h="13023" w:hRule="exact" w:wrap="around" w:vAnchor="page" w:hAnchor="page" w:x="973" w:y="1495"/>
        <w:shd w:val="clear" w:color="auto" w:fill="auto"/>
        <w:spacing w:after="18" w:line="210" w:lineRule="exact"/>
        <w:jc w:val="center"/>
      </w:pPr>
      <w:r>
        <w:rPr>
          <w:lang w:val="uk-UA" w:eastAsia="uk-UA" w:bidi="uk-UA"/>
        </w:rPr>
        <w:t>УДОСКОНАЛЕННЯ ОБЛІКУ ФІНАНСОВОЇ ДІЯЛЬНОСТІ НА ОСНОВІ</w:t>
      </w:r>
    </w:p>
    <w:p w:rsidR="009B1D29" w:rsidRDefault="00161CB8">
      <w:pPr>
        <w:pStyle w:val="20"/>
        <w:framePr w:w="9989" w:h="13023" w:hRule="exact" w:wrap="around" w:vAnchor="page" w:hAnchor="page" w:x="973" w:y="1495"/>
        <w:shd w:val="clear" w:color="auto" w:fill="auto"/>
        <w:spacing w:after="207" w:line="210" w:lineRule="exact"/>
        <w:jc w:val="center"/>
      </w:pPr>
      <w:r>
        <w:rPr>
          <w:lang w:val="uk-UA" w:eastAsia="uk-UA" w:bidi="uk-UA"/>
        </w:rPr>
        <w:t>МІЖНАРОДНОГО ДОСВІДУ</w:t>
      </w:r>
    </w:p>
    <w:p w:rsidR="009B1D29" w:rsidRDefault="00161CB8">
      <w:pPr>
        <w:pStyle w:val="30"/>
        <w:framePr w:w="9989" w:h="13023" w:hRule="exact" w:wrap="around" w:vAnchor="page" w:hAnchor="page" w:x="973" w:y="1495"/>
        <w:shd w:val="clear" w:color="auto" w:fill="auto"/>
        <w:spacing w:before="0"/>
      </w:pPr>
      <w:r>
        <w:t>Анотація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t>Стаття присвячена проблемам удосконалення теоретичних положень та методики бухгалтерського обліку фінансової діяльності на основі міжнародного досвіду.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t xml:space="preserve">Досліджено тенденції </w:t>
      </w:r>
      <w:r>
        <w:t>розвитку та проблеми ефективного управління фінансовими ресурсами методами бухгалтерського обліку. Визначено, що важливою складовою управління фінансовою діяльністю підприємств є організація та ведення бухгалтерського обліку. У світовій практиці фінансовий</w:t>
      </w:r>
      <w:r>
        <w:t xml:space="preserve"> результат визначають за певним видом діяльності та розглядають його з позиції, чи отриманий він у результаті звичайної чи надзвичайної діяльності. Для раціональної побудови обліково-аналітичної системи на підприємстві запропоновано аналітичні субрахунки д</w:t>
      </w:r>
      <w:r>
        <w:t>ля обліку резервів фінансової діяльності.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t>Для формування фінансової стратегії запропоновано модель, цільовою функцією якої розглядається функція корисності. Максимізація запропонованої функції корисності при заданих обмеженнях на змінні стану загальних еко</w:t>
      </w:r>
      <w:r>
        <w:t>номічних показників і цілей управління дає можливість визначити оптимальну фінансову стратегію.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spacing w:after="291"/>
        <w:jc w:val="center"/>
      </w:pPr>
      <w:r>
        <w:t>Ключові слова: облік, фінансова діяльність, методи обліку, управління, фінансування.</w:t>
      </w:r>
    </w:p>
    <w:p w:rsidR="009B1D29" w:rsidRDefault="00161CB8">
      <w:pPr>
        <w:pStyle w:val="20"/>
        <w:framePr w:w="9989" w:h="13023" w:hRule="exact" w:wrap="around" w:vAnchor="page" w:hAnchor="page" w:x="973" w:y="1495"/>
        <w:shd w:val="clear" w:color="auto" w:fill="auto"/>
        <w:spacing w:after="241" w:line="210" w:lineRule="exact"/>
        <w:jc w:val="center"/>
      </w:pPr>
      <w:r>
        <w:rPr>
          <w:lang w:val="uk-UA" w:eastAsia="uk-UA" w:bidi="uk-UA"/>
        </w:rPr>
        <w:t>Олег Антонович ШЕВЧУК</w:t>
      </w:r>
    </w:p>
    <w:p w:rsidR="009B1D29" w:rsidRDefault="00161CB8">
      <w:pPr>
        <w:pStyle w:val="20"/>
        <w:framePr w:w="9989" w:h="13023" w:hRule="exact" w:wrap="around" w:vAnchor="page" w:hAnchor="page" w:x="973" w:y="1495"/>
        <w:shd w:val="clear" w:color="auto" w:fill="auto"/>
        <w:spacing w:after="244" w:line="278" w:lineRule="exact"/>
        <w:jc w:val="center"/>
      </w:pPr>
      <w:r>
        <w:t>СОВЕРШЕНСТВОВ</w:t>
      </w:r>
      <w:r>
        <w:rPr>
          <w:rStyle w:val="21"/>
          <w:b/>
          <w:bCs/>
        </w:rPr>
        <w:t>АНИ</w:t>
      </w:r>
      <w:r>
        <w:t>Е УЧЕТА Ф</w:t>
      </w:r>
      <w:r>
        <w:rPr>
          <w:rStyle w:val="21"/>
          <w:b/>
          <w:bCs/>
        </w:rPr>
        <w:t>ИНА</w:t>
      </w:r>
      <w:r>
        <w:t>НСОВОЙ ДЕЯТЕЛЬНОСТИ НА ОС</w:t>
      </w:r>
      <w:r>
        <w:t>НОВЕ МЕЖДУНАРОДНОГО ОПЫТА</w:t>
      </w:r>
    </w:p>
    <w:p w:rsidR="009B1D29" w:rsidRDefault="00161CB8">
      <w:pPr>
        <w:pStyle w:val="30"/>
        <w:framePr w:w="9989" w:h="13023" w:hRule="exact" w:wrap="around" w:vAnchor="page" w:hAnchor="page" w:x="973" w:y="1495"/>
        <w:shd w:val="clear" w:color="auto" w:fill="auto"/>
        <w:spacing w:before="0"/>
      </w:pPr>
      <w:r>
        <w:rPr>
          <w:lang w:val="ru-RU" w:eastAsia="ru-RU" w:bidi="ru-RU"/>
        </w:rPr>
        <w:t>Аннотация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rPr>
          <w:lang w:val="ru-RU" w:eastAsia="ru-RU" w:bidi="ru-RU"/>
        </w:rPr>
        <w:t>Статья посвящена проблемам совершенствования теоретических положений и методики бухгалтерского учета финансовой деятельности на основе международного опыта.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rPr>
          <w:lang w:val="ru-RU" w:eastAsia="ru-RU" w:bidi="ru-RU"/>
        </w:rPr>
        <w:t>Исследованы тенденции развития и проблемы эффективного управлен</w:t>
      </w:r>
      <w:r>
        <w:rPr>
          <w:lang w:val="ru-RU" w:eastAsia="ru-RU" w:bidi="ru-RU"/>
        </w:rPr>
        <w:t>ия финансовыми ресурсами методами бухгалтерского учета. Определено, что важной составляющей управления финансовой деятельностью предприятий является организация и ведение бухгалтерского учета. В мировой практике финансовый результат определяют по определен</w:t>
      </w:r>
      <w:r>
        <w:rPr>
          <w:lang w:val="ru-RU" w:eastAsia="ru-RU" w:bidi="ru-RU"/>
        </w:rPr>
        <w:t>ному виду деятельности и рассматривают его с позиции, получен он в результате обычной или чрезвычайной деятельности. Для рационального построения учетно</w:t>
      </w:r>
      <w:r>
        <w:rPr>
          <w:lang w:val="ru-RU" w:eastAsia="ru-RU" w:bidi="ru-RU"/>
        </w:rPr>
        <w:softHyphen/>
        <w:t>аналитической системы на предприятии предложено аналитические субсчета для учета резервов финансовой де</w:t>
      </w:r>
      <w:r>
        <w:rPr>
          <w:lang w:val="ru-RU" w:eastAsia="ru-RU" w:bidi="ru-RU"/>
        </w:rPr>
        <w:t>ятельности.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rPr>
          <w:lang w:val="ru-RU" w:eastAsia="ru-RU" w:bidi="ru-RU"/>
        </w:rPr>
        <w:t>Для формирования финансовой стратегии предложена модель, целевой функцией которой рассматривается функция полезности. Максимизация предложенной функции полезности при заданных ограничениях на переменные состояния общих показателей и целей управ</w:t>
      </w:r>
      <w:r>
        <w:rPr>
          <w:lang w:val="ru-RU" w:eastAsia="ru-RU" w:bidi="ru-RU"/>
        </w:rPr>
        <w:t>ления дает возможность определить оптимальную финансовую стратегию.</w:t>
      </w:r>
    </w:p>
    <w:p w:rsidR="009B1D29" w:rsidRDefault="00161CB8">
      <w:pPr>
        <w:pStyle w:val="40"/>
        <w:framePr w:w="9989" w:h="13023" w:hRule="exact" w:wrap="around" w:vAnchor="page" w:hAnchor="page" w:x="973" w:y="1495"/>
        <w:shd w:val="clear" w:color="auto" w:fill="auto"/>
        <w:ind w:left="20" w:right="40" w:firstLine="560"/>
      </w:pPr>
      <w:r>
        <w:rPr>
          <w:rStyle w:val="40pt"/>
          <w:i/>
          <w:iCs/>
        </w:rPr>
        <w:t>Ключевые слова</w:t>
      </w:r>
      <w:r>
        <w:rPr>
          <w:lang w:val="ru-RU" w:eastAsia="ru-RU" w:bidi="ru-RU"/>
        </w:rPr>
        <w:t>: учет, финансовая деятельность, методы учета, управления, финансирования..</w:t>
      </w:r>
    </w:p>
    <w:p w:rsidR="009B1D29" w:rsidRDefault="00161CB8">
      <w:pPr>
        <w:pStyle w:val="a7"/>
        <w:framePr w:wrap="around" w:vAnchor="page" w:hAnchor="page" w:x="987" w:y="15666"/>
        <w:shd w:val="clear" w:color="auto" w:fill="auto"/>
        <w:spacing w:line="170" w:lineRule="exact"/>
        <w:ind w:left="20"/>
      </w:pPr>
      <w:r>
        <w:rPr>
          <w:lang w:val="ru-RU" w:eastAsia="ru-RU" w:bidi="ru-RU"/>
        </w:rPr>
        <w:t>306</w:t>
      </w:r>
    </w:p>
    <w:p w:rsidR="009B1D29" w:rsidRDefault="009B1D29">
      <w:pPr>
        <w:rPr>
          <w:sz w:val="2"/>
          <w:szCs w:val="2"/>
        </w:rPr>
        <w:sectPr w:rsidR="009B1D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D29" w:rsidRDefault="00161CB8">
      <w:pPr>
        <w:pStyle w:val="20"/>
        <w:framePr w:w="9984" w:h="13849" w:hRule="exact" w:wrap="around" w:vAnchor="page" w:hAnchor="page" w:x="975" w:y="1131"/>
        <w:shd w:val="clear" w:color="auto" w:fill="auto"/>
        <w:spacing w:after="0" w:line="274" w:lineRule="exact"/>
        <w:ind w:left="40"/>
        <w:jc w:val="center"/>
      </w:pPr>
      <w:r>
        <w:rPr>
          <w:lang w:val="en-US" w:eastAsia="en-US" w:bidi="en-US"/>
        </w:rPr>
        <w:lastRenderedPageBreak/>
        <w:t>Oleg Antonovych S</w:t>
      </w:r>
      <w:r>
        <w:rPr>
          <w:rStyle w:val="21"/>
          <w:b/>
          <w:bCs/>
          <w:lang w:val="en-US" w:eastAsia="en-US" w:bidi="en-US"/>
        </w:rPr>
        <w:t>H</w:t>
      </w:r>
      <w:r>
        <w:rPr>
          <w:lang w:val="en-US" w:eastAsia="en-US" w:bidi="en-US"/>
        </w:rPr>
        <w:t>EVCHUK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40"/>
      </w:pPr>
      <w:r>
        <w:rPr>
          <w:lang w:val="en-US" w:eastAsia="en-US" w:bidi="en-US"/>
        </w:rPr>
        <w:t xml:space="preserve">P.H.D, senior lecturer of department of the </w:t>
      </w:r>
      <w:r>
        <w:rPr>
          <w:lang w:val="en-US" w:eastAsia="en-US" w:bidi="en-US"/>
        </w:rPr>
        <w:t>accounting in manufacturing,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40"/>
      </w:pPr>
      <w:r>
        <w:rPr>
          <w:lang w:val="en-US" w:eastAsia="en-US" w:bidi="en-US"/>
        </w:rPr>
        <w:t>Ternopil National Economic University,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236"/>
        <w:ind w:left="40"/>
      </w:pPr>
      <w:r>
        <w:rPr>
          <w:lang w:val="en-US" w:eastAsia="en-US" w:bidi="en-US"/>
        </w:rPr>
        <w:t>Lvivska str. 11, Ternopil, Ukraine. 46000</w:t>
      </w:r>
    </w:p>
    <w:p w:rsidR="009B1D29" w:rsidRDefault="00161CB8">
      <w:pPr>
        <w:pStyle w:val="20"/>
        <w:framePr w:w="9984" w:h="13849" w:hRule="exact" w:wrap="around" w:vAnchor="page" w:hAnchor="page" w:x="975" w:y="1131"/>
        <w:shd w:val="clear" w:color="auto" w:fill="auto"/>
        <w:spacing w:after="244" w:line="278" w:lineRule="exact"/>
        <w:ind w:left="40"/>
        <w:jc w:val="center"/>
      </w:pPr>
      <w:r>
        <w:rPr>
          <w:lang w:val="en-US" w:eastAsia="en-US" w:bidi="en-US"/>
        </w:rPr>
        <w:t>IMPROVING ACCOUNTING OF FINANCIAL ACTIVITIES BASED ON INTERNATIONAL EXPERIENCE</w:t>
      </w:r>
    </w:p>
    <w:p w:rsidR="009B1D29" w:rsidRDefault="00161CB8">
      <w:pPr>
        <w:pStyle w:val="40"/>
        <w:framePr w:w="9984" w:h="13849" w:hRule="exact" w:wrap="around" w:vAnchor="page" w:hAnchor="page" w:x="975" w:y="1131"/>
        <w:shd w:val="clear" w:color="auto" w:fill="auto"/>
        <w:ind w:left="40"/>
        <w:jc w:val="center"/>
      </w:pPr>
      <w:r>
        <w:rPr>
          <w:lang w:val="en-US" w:eastAsia="en-US" w:bidi="en-US"/>
        </w:rPr>
        <w:t>Summary</w:t>
      </w:r>
    </w:p>
    <w:p w:rsidR="009B1D29" w:rsidRDefault="00161CB8">
      <w:pPr>
        <w:pStyle w:val="40"/>
        <w:framePr w:w="9984" w:h="13849" w:hRule="exact" w:wrap="around" w:vAnchor="page" w:hAnchor="page" w:x="975" w:y="1131"/>
        <w:shd w:val="clear" w:color="auto" w:fill="auto"/>
        <w:ind w:left="20" w:right="60" w:firstLine="560"/>
      </w:pPr>
      <w:r>
        <w:rPr>
          <w:lang w:val="en-US" w:eastAsia="en-US" w:bidi="en-US"/>
        </w:rPr>
        <w:t xml:space="preserve">This article is devoted to the problems of improvement of </w:t>
      </w:r>
      <w:r>
        <w:rPr>
          <w:lang w:val="en-US" w:eastAsia="en-US" w:bidi="en-US"/>
        </w:rPr>
        <w:t>theoretical positions and methods of accounting of financial activities based on international experience.</w:t>
      </w:r>
    </w:p>
    <w:p w:rsidR="009B1D29" w:rsidRDefault="00161CB8">
      <w:pPr>
        <w:pStyle w:val="40"/>
        <w:framePr w:w="9984" w:h="13849" w:hRule="exact" w:wrap="around" w:vAnchor="page" w:hAnchor="page" w:x="975" w:y="1131"/>
        <w:shd w:val="clear" w:color="auto" w:fill="auto"/>
        <w:ind w:left="20" w:right="60" w:firstLine="560"/>
      </w:pPr>
      <w:r>
        <w:rPr>
          <w:lang w:val="en-US" w:eastAsia="en-US" w:bidi="en-US"/>
        </w:rPr>
        <w:t>The tendencies of development and problems of effective financial management methods accounting books. Determined that an important part of financial</w:t>
      </w:r>
      <w:r>
        <w:rPr>
          <w:lang w:val="en-US" w:eastAsia="en-US" w:bidi="en-US"/>
        </w:rPr>
        <w:t xml:space="preserve"> management is the organization of enterprises and accounting. In the world financial result determined by the specific activity and consider it from the standpoint of whether it was obtained as a result of normal or emergency operations. For rational cons</w:t>
      </w:r>
      <w:r>
        <w:rPr>
          <w:lang w:val="en-US" w:eastAsia="en-US" w:bidi="en-US"/>
        </w:rPr>
        <w:t>truction accounting and analytical systems in the enterprise proposed analytical subaccounts for reserves accounting financial activities.</w:t>
      </w:r>
    </w:p>
    <w:p w:rsidR="009B1D29" w:rsidRDefault="00161CB8">
      <w:pPr>
        <w:pStyle w:val="40"/>
        <w:framePr w:w="9984" w:h="13849" w:hRule="exact" w:wrap="around" w:vAnchor="page" w:hAnchor="page" w:x="975" w:y="1131"/>
        <w:shd w:val="clear" w:color="auto" w:fill="auto"/>
        <w:ind w:left="20" w:right="60" w:firstLine="560"/>
      </w:pPr>
      <w:r>
        <w:rPr>
          <w:lang w:val="en-US" w:eastAsia="en-US" w:bidi="en-US"/>
        </w:rPr>
        <w:t>For generate financial strategy proposed model, the target function in question utility function. Maximizing the prop</w:t>
      </w:r>
      <w:r>
        <w:rPr>
          <w:lang w:val="en-US" w:eastAsia="en-US" w:bidi="en-US"/>
        </w:rPr>
        <w:t>osed utility function under the given constraints on the state variables of general economic indicators and management objectives makes it possible to determine the optimal financial strategy.</w:t>
      </w:r>
    </w:p>
    <w:p w:rsidR="009B1D29" w:rsidRDefault="00161CB8">
      <w:pPr>
        <w:pStyle w:val="40"/>
        <w:framePr w:w="9984" w:h="13849" w:hRule="exact" w:wrap="around" w:vAnchor="page" w:hAnchor="page" w:x="975" w:y="1131"/>
        <w:shd w:val="clear" w:color="auto" w:fill="auto"/>
        <w:spacing w:after="240"/>
        <w:ind w:left="20" w:firstLine="560"/>
      </w:pPr>
      <w:r>
        <w:rPr>
          <w:lang w:val="en-US" w:eastAsia="en-US" w:bidi="en-US"/>
        </w:rPr>
        <w:t xml:space="preserve">Keywords: accounting, finance, accounting methods, management, </w:t>
      </w:r>
      <w:r>
        <w:rPr>
          <w:lang w:val="en-US" w:eastAsia="en-US" w:bidi="en-US"/>
        </w:rPr>
        <w:t>financing.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Постановка проблеми. </w:t>
      </w:r>
      <w:r>
        <w:t>Потреба посилення фінансової діяльності підприємств спричиняє процеси реформування української економіки для сприяння управління підприємством, адаптацією до міжнародного середовища. При цьому, важливим є облікове забезпечен</w:t>
      </w:r>
      <w:r>
        <w:t>ня фінансової діяльності. Формування належної інформації, пошук нових методів її відображення дозволить підвищити якість управління фінансовими ресурсами, конкурентоспроможністю, фінансовою стійкістю підприємств.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20" w:right="60" w:firstLine="560"/>
        <w:jc w:val="both"/>
      </w:pPr>
      <w:r>
        <w:t>Доцільно більш детально висвітлити проблеми</w:t>
      </w:r>
      <w:r>
        <w:t xml:space="preserve"> забезпечення інформацією фінансового менеджменту, з висвітленням зарубіжної практики, зокрема, питання обліку фінансової діяльності. Як дослідив Т.Е. Белялов [2], з розвитком ринкових відносин в Україні виникло багато нових способів фінансування, наприкла</w:t>
      </w:r>
      <w:r>
        <w:t>д, емісія акцій, прискорена амортизація, розширились можливості нових форм залучення коштів. Вітчизняні підприємства втратили колишні джерела фінансування (державна підтримка). Водночас джерела, які широко використовуються компаніями у країнах із розвинено</w:t>
      </w:r>
      <w:r>
        <w:t>ю ринковою економікою, майже недоступні для вітчизняних підприємств через високу вартість залучення коштів.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>Вагомий внесок у вивчення фінансових процесів, специфіку їх розвитку на основі міжнародного досвіду зробили</w:t>
      </w:r>
      <w:r>
        <w:t xml:space="preserve"> вітчизняні вчені: О.М. Бандурка, Я.В. Воловець, А.С. Гальчинський, В.М. Геєць, В.І. Довгалюк, І.В. Зятковський, С.В. Мочерний, К.А. Пріб, А.М. Поддєрьогін, О.О. Терещенко, Г.І. Філіна та ін. Серед зарубіжних авторів: З. Боді, П. Друкер, С. Майєрс, Г. Марк</w:t>
      </w:r>
      <w:r>
        <w:t>овіц, Д. Найт, М. Портер, Дж. Робертс, А. Ругман, М. Шоулз та ін.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20" w:right="60" w:firstLine="560"/>
        <w:jc w:val="both"/>
      </w:pPr>
      <w:r>
        <w:t>Науковцями розкрито вагомість проблеми, її систему та взаємозв’язки, проте, зважаючи на зміни економічного середовища та методів фінансової діяльності, питання облікового відображення завжди</w:t>
      </w:r>
      <w:r>
        <w:t xml:space="preserve"> актуальні, оскільки необхідно враховувати сучасні тенденції розвитку міжнародної фінансової та облікової науки для вирішення завдань інформаційного забезпечення управління.</w:t>
      </w:r>
    </w:p>
    <w:p w:rsidR="009B1D29" w:rsidRDefault="00161CB8">
      <w:pPr>
        <w:pStyle w:val="a5"/>
        <w:framePr w:w="9984" w:h="13849" w:hRule="exact" w:wrap="around" w:vAnchor="page" w:hAnchor="page" w:x="975" w:y="1131"/>
        <w:shd w:val="clear" w:color="auto" w:fill="auto"/>
        <w:spacing w:after="0"/>
        <w:ind w:left="20" w:right="60" w:firstLine="560"/>
        <w:jc w:val="both"/>
      </w:pPr>
      <w:r>
        <w:rPr>
          <w:rStyle w:val="0pt"/>
        </w:rPr>
        <w:t xml:space="preserve">Постановка завдання. </w:t>
      </w:r>
      <w:r>
        <w:t>Метою статті є науково-прикладне обґрунтування теоретичних по</w:t>
      </w:r>
      <w:r>
        <w:t>ложень і розробка рекомендацій щодо удосконалення методичних засад обліку фінансової</w:t>
      </w:r>
    </w:p>
    <w:p w:rsidR="009B1D29" w:rsidRDefault="00161CB8">
      <w:pPr>
        <w:pStyle w:val="a7"/>
        <w:framePr w:wrap="around" w:vAnchor="page" w:hAnchor="page" w:x="956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9B1D29" w:rsidRDefault="00161CB8">
      <w:pPr>
        <w:pStyle w:val="a7"/>
        <w:framePr w:wrap="around" w:vAnchor="page" w:hAnchor="page" w:x="10580" w:y="15623"/>
        <w:shd w:val="clear" w:color="auto" w:fill="auto"/>
        <w:spacing w:line="170" w:lineRule="exact"/>
        <w:ind w:left="20"/>
      </w:pPr>
      <w:r>
        <w:t>307</w:t>
      </w:r>
    </w:p>
    <w:p w:rsidR="009B1D29" w:rsidRDefault="009B1D29">
      <w:pPr>
        <w:rPr>
          <w:sz w:val="2"/>
          <w:szCs w:val="2"/>
        </w:rPr>
        <w:sectPr w:rsidR="009B1D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/>
        <w:jc w:val="left"/>
      </w:pPr>
      <w:r>
        <w:lastRenderedPageBreak/>
        <w:t xml:space="preserve">діяльності </w:t>
      </w:r>
      <w:r>
        <w:rPr>
          <w:lang w:val="ru-RU" w:eastAsia="ru-RU" w:bidi="ru-RU"/>
        </w:rPr>
        <w:t xml:space="preserve">на </w:t>
      </w:r>
      <w:r>
        <w:t xml:space="preserve">основі міжнародного досвіду </w:t>
      </w:r>
      <w:r>
        <w:rPr>
          <w:lang w:val="ru-RU" w:eastAsia="ru-RU" w:bidi="ru-RU"/>
        </w:rPr>
        <w:t xml:space="preserve">на вимоги </w:t>
      </w:r>
      <w:r>
        <w:t>управління.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rPr>
          <w:rStyle w:val="0pt"/>
        </w:rPr>
        <w:t xml:space="preserve">Виклад основного матеріалу дослідження. </w:t>
      </w:r>
      <w:r>
        <w:t xml:space="preserve">За умов перманентного реформування вітчизняної системи обліку питання відображення фінансової діяльності належать до пріорш^них. Як зазначає В.М. Жук [7, с. 6], у сучасному інформаційному світі бухгалтерський облік, </w:t>
      </w:r>
      <w:r>
        <w:t>як найдавніша інформаційна система, переживає період «перезавантаження», пошуку нових ідей та затребуваності. В розвинутих країнах упереджується концепція сприйняття бухгалтерської системи як важливого елемента національної безпеки та дієвого фактора еконо</w:t>
      </w:r>
      <w:r>
        <w:t xml:space="preserve">мічної експансії на ринки країн третього світу. Інші дослідники, серед яких - В. </w:t>
      </w:r>
      <w:r>
        <w:rPr>
          <w:lang w:val="ru-RU" w:eastAsia="ru-RU" w:bidi="ru-RU"/>
        </w:rPr>
        <w:t xml:space="preserve">Г. Андреева </w:t>
      </w:r>
      <w:r>
        <w:t xml:space="preserve">[1, </w:t>
      </w:r>
      <w:r>
        <w:rPr>
          <w:lang w:val="ru-RU" w:eastAsia="ru-RU" w:bidi="ru-RU"/>
        </w:rPr>
        <w:t xml:space="preserve">с. </w:t>
      </w:r>
      <w:r>
        <w:t>7], розкривають значення синтезу системи діагностики управління фінансовою системою.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Важливою складовою управління фінансовою діяльністю підприємств є орган</w:t>
      </w:r>
      <w:r>
        <w:t>ізація та ведення бухгалтерського обліку. У світовій практиці фінансовий результат визначають за певним видом діяльності та розглядають його з позиції, чи отриманий він у результаті звичайної чи надзвичайної діяльності. У низці країн розробляються стандарт</w:t>
      </w:r>
      <w:r>
        <w:t xml:space="preserve">и обліку, наприклад, у </w:t>
      </w:r>
      <w:r>
        <w:rPr>
          <w:lang w:val="ru-RU" w:eastAsia="ru-RU" w:bidi="ru-RU"/>
        </w:rPr>
        <w:t xml:space="preserve">США </w:t>
      </w:r>
      <w:r>
        <w:t xml:space="preserve">- Загальноприйняті принципи обліку </w:t>
      </w:r>
      <w:r>
        <w:rPr>
          <w:lang w:val="en-US" w:eastAsia="en-US" w:bidi="en-US"/>
        </w:rPr>
        <w:t xml:space="preserve">(Generally Accepted Accounting Principles - GAAP), </w:t>
      </w:r>
      <w:r>
        <w:t xml:space="preserve">у Великій Британії - Положення про стандарти ведення обліку </w:t>
      </w:r>
      <w:r>
        <w:rPr>
          <w:lang w:val="en-US" w:eastAsia="en-US" w:bidi="en-US"/>
        </w:rPr>
        <w:t xml:space="preserve">(Statements of Standard Accounting Practice - SSAP) [6]. </w:t>
      </w:r>
      <w:r>
        <w:t>Національні правила</w:t>
      </w:r>
      <w:r>
        <w:rPr>
          <w:lang w:val="en-US" w:eastAsia="en-US" w:bidi="en-US"/>
        </w:rPr>
        <w:t xml:space="preserve">, </w:t>
      </w:r>
      <w:r>
        <w:t>які р</w:t>
      </w:r>
      <w:r>
        <w:t>егулюють форми ведення обліку, істотно різні. Однак можна виділити групи країн, які дотримуються схожих підходів до побудови систем обліку. Однією із найпоширеніших є трьохмодельна класифікація облікових систем господарських операцій, яка включає в себе:</w:t>
      </w:r>
    </w:p>
    <w:p w:rsidR="009B1D29" w:rsidRDefault="00161CB8">
      <w:pPr>
        <w:pStyle w:val="a5"/>
        <w:framePr w:w="9936" w:h="13627" w:hRule="exact" w:wrap="around" w:vAnchor="page" w:hAnchor="page" w:x="999" w:y="1217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</w:t>
      </w:r>
      <w:r>
        <w:t xml:space="preserve">англо-американську модель, яка використовується у Великій Британії, </w:t>
      </w:r>
      <w:r>
        <w:rPr>
          <w:lang w:val="ru-RU" w:eastAsia="ru-RU" w:bidi="ru-RU"/>
        </w:rPr>
        <w:t xml:space="preserve">США, </w:t>
      </w:r>
      <w:r>
        <w:t>Нідерландах, Канаді, Австралії та інших країнах;</w:t>
      </w:r>
    </w:p>
    <w:p w:rsidR="009B1D29" w:rsidRDefault="00161CB8">
      <w:pPr>
        <w:pStyle w:val="a5"/>
        <w:framePr w:w="9936" w:h="13627" w:hRule="exact" w:wrap="around" w:vAnchor="page" w:hAnchor="page" w:x="999" w:y="1217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континентальну модель, що застосовується в Австрії, Франції, Італії, Швейцарії, Німеччині, деяких інших країнах;</w:t>
      </w:r>
    </w:p>
    <w:p w:rsidR="009B1D29" w:rsidRDefault="00161CB8">
      <w:pPr>
        <w:pStyle w:val="a5"/>
        <w:framePr w:w="9936" w:h="13627" w:hRule="exact" w:wrap="around" w:vAnchor="page" w:hAnchor="page" w:x="999" w:y="1217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південноамериканськ</w:t>
      </w:r>
      <w:r>
        <w:t>у модель, яка використовується у Болівії, Бразилії, Аргентині й інших країнах.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Англо-американська модель орієнтована на облік і задоволення запитів інвесторів, що обумовлено високорозвиненим ринком цінних паперів і відсутністю законодавчого регулювання обл</w:t>
      </w:r>
      <w:r>
        <w:t>іку за стандартами. Модель має високий рівень гнучкості облікової системи й розрахована на високий освітній рівень як бухгалтерів, так і користувачів фінансової інформації.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Континентальна модель відрізняється законодавчим регулюванням обліку, тісними зв'яз</w:t>
      </w:r>
      <w:r>
        <w:t>ками підприємств із банками, які є основними джерелами капіталу, орієнтацією обліку на задоволення запитів системи державного оподаткування й макроекономічного регулювання та консерватизмом облікової політики. Особливістю південноамериканської моделі, на д</w:t>
      </w:r>
      <w:r>
        <w:t xml:space="preserve">умку авторів посібника бухгалтерського обліку у зарубіжних країнах за </w:t>
      </w:r>
      <w:r>
        <w:rPr>
          <w:lang w:val="ru-RU" w:eastAsia="ru-RU" w:bidi="ru-RU"/>
        </w:rPr>
        <w:t xml:space="preserve">ред. </w:t>
      </w:r>
      <w:r>
        <w:t>Ф.Ф. Бутинця [3], вважається орієнтація методики обліку на високий рівень інфляції.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В основу оцінки фінансової вартості акціонерного капіталу покладено два принципи. Перший стосуєть</w:t>
      </w:r>
      <w:r>
        <w:t>ся необхідності врахування до суми очікуваного прибутку величини ризику грошових потоків, другий - долучення до кожного з джерел грошових потоків, що оцінюється, норми дисконтної ставки. У класичному варіанті визначення фінансової вартості капіталу здійсню</w:t>
      </w:r>
      <w:r>
        <w:t>ють двома методами:</w:t>
      </w:r>
    </w:p>
    <w:p w:rsidR="009B1D29" w:rsidRDefault="00161CB8">
      <w:pPr>
        <w:pStyle w:val="a5"/>
        <w:framePr w:w="9936" w:h="13627" w:hRule="exact" w:wrap="around" w:vAnchor="page" w:hAnchor="page" w:x="999" w:y="1217"/>
        <w:numPr>
          <w:ilvl w:val="0"/>
          <w:numId w:val="2"/>
        </w:numPr>
        <w:shd w:val="clear" w:color="auto" w:fill="auto"/>
        <w:spacing w:after="0"/>
        <w:ind w:left="20" w:right="20" w:firstLine="560"/>
        <w:jc w:val="both"/>
      </w:pPr>
      <w:r>
        <w:t xml:space="preserve"> Методом капітального бюджетування, коли визначають середньозважену вартість очікуваного доходу на інвестиції(WARR- </w:t>
      </w:r>
      <w:r>
        <w:rPr>
          <w:lang w:val="en-US" w:eastAsia="en-US" w:bidi="en-US"/>
        </w:rPr>
        <w:t>weighted average required eturn);</w:t>
      </w:r>
    </w:p>
    <w:p w:rsidR="009B1D29" w:rsidRDefault="00161CB8">
      <w:pPr>
        <w:pStyle w:val="a5"/>
        <w:framePr w:w="9936" w:h="13627" w:hRule="exact" w:wrap="around" w:vAnchor="page" w:hAnchor="page" w:x="999" w:y="1217"/>
        <w:numPr>
          <w:ilvl w:val="0"/>
          <w:numId w:val="2"/>
        </w:numPr>
        <w:shd w:val="clear" w:color="auto" w:fill="auto"/>
        <w:spacing w:after="0"/>
        <w:ind w:left="20" w:right="20" w:firstLine="560"/>
        <w:jc w:val="both"/>
      </w:pPr>
      <w:r>
        <w:rPr>
          <w:lang w:val="en-US" w:eastAsia="en-US" w:bidi="en-US"/>
        </w:rPr>
        <w:t xml:space="preserve"> </w:t>
      </w:r>
      <w:r>
        <w:t xml:space="preserve">Шляхом визначення скоригованої поточної вартості, тобто суми очікуваного доходу мінус відсоток на капітал як «компенсація за очікування» </w:t>
      </w:r>
      <w:r>
        <w:rPr>
          <w:lang w:val="en-US" w:eastAsia="en-US" w:bidi="en-US"/>
        </w:rPr>
        <w:t>(APV - adjusted present value).</w:t>
      </w:r>
    </w:p>
    <w:p w:rsidR="009B1D29" w:rsidRDefault="00161CB8">
      <w:pPr>
        <w:pStyle w:val="a5"/>
        <w:framePr w:w="9936" w:h="13627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Із використанням цих підходів, на думку Я. Голубка [5], в бухгалтерському обліку слід р</w:t>
      </w:r>
      <w:r>
        <w:t>озрізняти як окремі об'єкти фінансової діяльності, що утримуються для одержання прибутку, контролю та інших вигод, і фінансові активи, що придбані з метою подальшого продажу. Тому</w:t>
      </w:r>
    </w:p>
    <w:p w:rsidR="009B1D29" w:rsidRDefault="00161CB8">
      <w:pPr>
        <w:pStyle w:val="a7"/>
        <w:framePr w:wrap="around" w:vAnchor="page" w:hAnchor="page" w:x="985" w:y="15666"/>
        <w:shd w:val="clear" w:color="auto" w:fill="auto"/>
        <w:spacing w:line="170" w:lineRule="exact"/>
        <w:ind w:left="20"/>
      </w:pPr>
      <w:r>
        <w:t>308</w:t>
      </w:r>
    </w:p>
    <w:p w:rsidR="009B1D29" w:rsidRDefault="009B1D29">
      <w:pPr>
        <w:rPr>
          <w:sz w:val="2"/>
          <w:szCs w:val="2"/>
        </w:rPr>
        <w:sectPr w:rsidR="009B1D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/>
        <w:jc w:val="both"/>
      </w:pPr>
      <w:r>
        <w:lastRenderedPageBreak/>
        <w:t>норми і правила, визначені П(С)БО 12, стосуються в</w:t>
      </w:r>
      <w:r>
        <w:t>сіх підприємств, крім бюджетних установ і професійних торговців цінними паперами.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>Фінансові активи, що придбані й утримуються для подальшого продажу, хоч й віднесені за П(С)БО до інвестицій, доцільно відображати в обліку як товар. Дохід від таких інвестиці</w:t>
      </w:r>
      <w:r>
        <w:t>й формується від різниці в ціні (продажу і купівельної), а не за рахунок ринкових механізмів інвестування (дивідендів, відсотків, приросту капіталу).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>Потребує більш чіткого розмежування в обліку і звітності інформація щодо визначення результатів за окремим</w:t>
      </w:r>
      <w:r>
        <w:t xml:space="preserve">и видами діяльності, зокрема, доходів, видатків і результатів видів діяльності. В обліку на рахунках 7 і 9 класів достатньо чітко представлені доходи, витрати операційної і фінансової діяльності. Облік цих видів діяльності передбачено вести на відповідних </w:t>
      </w:r>
      <w:r>
        <w:t>рахунках і відображати у звітності у складі таких же видів доходів і витрат.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>Наприклад, для обліку інвестиційної діяльності вченими визначено ряд проблем, зокрема, в обліку витрат. Відомо, що для них передбачено рахунки: 96 «Втрати від участі в капіталі» з</w:t>
      </w:r>
      <w:r>
        <w:t>битки від інвестицій в асоційовані, дочірні підприємства, від спільної діяльності; 97 «Інші витрати», де відображається собівартість реалізованих фінансових інвестицій, необоротних активів, майнових комплексів, а також уцінка, списання необоротних активів,</w:t>
      </w:r>
      <w:r>
        <w:t xml:space="preserve"> втрати від неопераційних курсових різниць. При цьому рахунок 97 за економічним змістом, структурою субрахунків після виключення з нього страхової діяльності призначений тільки для обліку витрат і втрат, пов'язаних з інвестиційною діяльністю. Зважаючи на ц</w:t>
      </w:r>
      <w:r>
        <w:t>е, як вказують дослідники С.М. Буханцов, Е.С. Гейєр, його доцільно назвати «Витрати інвестиційної діяльності», а субрахунок 977 - «Інші витрати інвестиційної діяльності».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 xml:space="preserve">Вимагає відповідного уточнення й рахунок для обліку кінцевих фінансових результатів. </w:t>
      </w:r>
      <w:r>
        <w:t>У зв'язку з цим субрахунок 793, на якому формуються кінцеві фінансові результати від інвестицій, пропонується назвати «Результат інвестиційної діяльності».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>Для ведення фінансової діяльності дуже важливим є вчасне обслуговування процесу відтворення фінансов</w:t>
      </w:r>
      <w:r>
        <w:t>ими ресурсами. У цьому зв'язку заслуговує на увагу резервування. За дослідженнями І.М. Вигівської [4], резервування є економічною операцією забезпечення майбутніх витрат і платежів як фонду спеціального призначення у вигляді високоліквідних активів, що ств</w:t>
      </w:r>
      <w:r>
        <w:t>орюються суб'єктом господарювання за рахунок власних джерел фінансування для покриття зобов'язань з невизначеними часом або сумою погашення.</w:t>
      </w:r>
    </w:p>
    <w:p w:rsidR="009B1D29" w:rsidRDefault="00161CB8">
      <w:pPr>
        <w:pStyle w:val="a5"/>
        <w:framePr w:w="9931" w:h="9408" w:hRule="exact" w:wrap="around" w:vAnchor="page" w:hAnchor="page" w:x="1002" w:y="1097"/>
        <w:shd w:val="clear" w:color="auto" w:fill="auto"/>
        <w:spacing w:after="0"/>
        <w:ind w:left="20" w:right="20" w:firstLine="560"/>
        <w:jc w:val="both"/>
      </w:pPr>
      <w:r>
        <w:t xml:space="preserve">У переліку запропонованих цим автором резервів, на увагу заслуговує резерв комерційних ризиків, який формується за </w:t>
      </w:r>
      <w:r>
        <w:t>рахунок віднесення витрат на його створення на собівартість виробництва та може мати будь-яке цільове спрямування. Виходячи з цього, нами запропоновано субрахунки резервування витрат фінансової діяльності (табл. 1).</w:t>
      </w:r>
    </w:p>
    <w:p w:rsidR="009B1D29" w:rsidRDefault="00161CB8">
      <w:pPr>
        <w:pStyle w:val="a9"/>
        <w:framePr w:w="1094" w:h="210" w:hRule="exact" w:wrap="around" w:vAnchor="page" w:hAnchor="page" w:x="9815" w:y="10839"/>
        <w:shd w:val="clear" w:color="auto" w:fill="auto"/>
        <w:spacing w:line="210" w:lineRule="exact"/>
      </w:pPr>
      <w:r>
        <w:t>Таблиця 1</w:t>
      </w:r>
    </w:p>
    <w:p w:rsidR="009B1D29" w:rsidRDefault="00161CB8">
      <w:pPr>
        <w:pStyle w:val="a9"/>
        <w:framePr w:w="8026" w:h="264" w:hRule="exact" w:wrap="around" w:vAnchor="page" w:hAnchor="page" w:x="1952" w:y="11113"/>
        <w:shd w:val="clear" w:color="auto" w:fill="auto"/>
        <w:spacing w:line="210" w:lineRule="exact"/>
      </w:pPr>
      <w:r>
        <w:rPr>
          <w:rStyle w:val="aa"/>
          <w:b/>
          <w:bCs/>
        </w:rPr>
        <w:t>Пропоновані субрахунки створен</w:t>
      </w:r>
      <w:r>
        <w:rPr>
          <w:rStyle w:val="aa"/>
          <w:b/>
          <w:bCs/>
        </w:rPr>
        <w:t>ня резерву витрат фінансової діяльності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520"/>
        <w:gridCol w:w="5774"/>
      </w:tblGrid>
      <w:tr w:rsidR="009B1D29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479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/>
              <w:jc w:val="both"/>
            </w:pPr>
            <w:r>
              <w:rPr>
                <w:rStyle w:val="ab"/>
              </w:rPr>
              <w:t>Резерв відшкодування комерційних ризиків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ab"/>
              </w:rPr>
              <w:t>Створюється для покриття втрат від виробничих, майнових ризиків, ризиків продажу, недостатнього та несвоєчасного розвитку</w:t>
            </w:r>
          </w:p>
        </w:tc>
      </w:tr>
      <w:tr w:rsidR="009B1D29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4710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ab"/>
              </w:rPr>
              <w:t>Резерв майбутніх витрат і платежів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/>
              <w:ind w:left="120"/>
              <w:jc w:val="left"/>
            </w:pPr>
            <w:r>
              <w:rPr>
                <w:rStyle w:val="ab"/>
              </w:rPr>
              <w:t>Формується за рахунок включення витрат на його створення до собівартості виробництва, може мати будь-яке цільове спрямування</w:t>
            </w:r>
          </w:p>
        </w:tc>
      </w:tr>
      <w:tr w:rsidR="009B1D2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b"/>
              </w:rPr>
              <w:t>953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ab"/>
              </w:rPr>
              <w:t>Резерв фінансових витрат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D29" w:rsidRDefault="00161CB8">
            <w:pPr>
              <w:pStyle w:val="a5"/>
              <w:framePr w:w="9110" w:h="2266" w:wrap="around" w:vAnchor="page" w:hAnchor="page" w:x="1410" w:y="11329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ab"/>
              </w:rPr>
              <w:t>Створюється для покриття ймовірних фінансових втрат</w:t>
            </w:r>
          </w:p>
        </w:tc>
      </w:tr>
    </w:tbl>
    <w:p w:rsidR="009B1D29" w:rsidRDefault="00161CB8">
      <w:pPr>
        <w:pStyle w:val="a5"/>
        <w:framePr w:w="9931" w:h="1157" w:hRule="exact" w:wrap="around" w:vAnchor="page" w:hAnchor="page" w:x="1002" w:y="13836"/>
        <w:shd w:val="clear" w:color="auto" w:fill="auto"/>
        <w:spacing w:after="0"/>
        <w:ind w:left="20" w:right="20" w:firstLine="560"/>
        <w:jc w:val="both"/>
      </w:pPr>
      <w:r>
        <w:t xml:space="preserve">Для здійснення господарської діяльності </w:t>
      </w:r>
      <w:r>
        <w:t>підприємства формують активи, які, згідно Інструкції по використанню Плану рахунків [8], та П(С)БО [9], мають принести очікувану економічну вигоду в майбутньому. Така вигода, що пов'язується з використанням активу - це потенціал, який прямо чи опосередкова</w:t>
      </w:r>
      <w:r>
        <w:t>но входить у потік грошових коштів чи їхніх</w:t>
      </w:r>
    </w:p>
    <w:p w:rsidR="009B1D29" w:rsidRDefault="00161CB8">
      <w:pPr>
        <w:pStyle w:val="a7"/>
        <w:framePr w:wrap="around" w:vAnchor="page" w:hAnchor="page" w:x="983" w:y="15589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9B1D29" w:rsidRDefault="00161CB8">
      <w:pPr>
        <w:pStyle w:val="a7"/>
        <w:framePr w:wrap="around" w:vAnchor="page" w:hAnchor="page" w:x="10607" w:y="15594"/>
        <w:shd w:val="clear" w:color="auto" w:fill="auto"/>
        <w:spacing w:line="170" w:lineRule="exact"/>
        <w:ind w:left="20"/>
      </w:pPr>
      <w:r>
        <w:t>309</w:t>
      </w:r>
    </w:p>
    <w:p w:rsidR="009B1D29" w:rsidRDefault="009B1D29">
      <w:pPr>
        <w:rPr>
          <w:sz w:val="2"/>
          <w:szCs w:val="2"/>
        </w:rPr>
        <w:sectPr w:rsidR="009B1D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/>
        <w:jc w:val="both"/>
      </w:pPr>
      <w:r>
        <w:lastRenderedPageBreak/>
        <w:t xml:space="preserve">еквівалентів. Активи підприємства, відображені в балансі, за змістом є основними й оборотними засобами і реальним капіталом, який </w:t>
      </w:r>
      <w:r>
        <w:t xml:space="preserve">використовується для забезпечення господарської діяльності. Пасив, з даної точки зору, як зазначає Т.Е. Белялов [2], відображає джерела фінансування цього капіталу, тобто боргові зобов'язання за реальний капітал, яким підприємство розпоряджається на даний </w:t>
      </w:r>
      <w:r>
        <w:t>момент. Ці зобов'язання забезпечуються:</w:t>
      </w:r>
    </w:p>
    <w:p w:rsidR="009B1D29" w:rsidRDefault="00161CB8">
      <w:pPr>
        <w:pStyle w:val="a5"/>
        <w:framePr w:w="9936" w:h="13109" w:hRule="exact" w:wrap="around" w:vAnchor="page" w:hAnchor="page" w:x="999" w:y="1217"/>
        <w:numPr>
          <w:ilvl w:val="0"/>
          <w:numId w:val="1"/>
        </w:numPr>
        <w:shd w:val="clear" w:color="auto" w:fill="auto"/>
        <w:spacing w:after="0" w:line="293" w:lineRule="exact"/>
        <w:ind w:left="20" w:firstLine="560"/>
        <w:jc w:val="both"/>
      </w:pPr>
      <w:r>
        <w:t xml:space="preserve"> корпоративними цінними паперами;</w:t>
      </w:r>
    </w:p>
    <w:p w:rsidR="009B1D29" w:rsidRDefault="00161CB8">
      <w:pPr>
        <w:pStyle w:val="a5"/>
        <w:framePr w:w="9936" w:h="13109" w:hRule="exact" w:wrap="around" w:vAnchor="page" w:hAnchor="page" w:x="999" w:y="1217"/>
        <w:numPr>
          <w:ilvl w:val="0"/>
          <w:numId w:val="1"/>
        </w:numPr>
        <w:shd w:val="clear" w:color="auto" w:fill="auto"/>
        <w:spacing w:after="0" w:line="293" w:lineRule="exact"/>
        <w:ind w:left="20" w:firstLine="560"/>
        <w:jc w:val="both"/>
      </w:pPr>
      <w:r>
        <w:t xml:space="preserve"> кредиторською заборгованістю;</w:t>
      </w:r>
    </w:p>
    <w:p w:rsidR="009B1D29" w:rsidRDefault="00161CB8">
      <w:pPr>
        <w:pStyle w:val="a5"/>
        <w:framePr w:w="9936" w:h="13109" w:hRule="exact" w:wrap="around" w:vAnchor="page" w:hAnchor="page" w:x="999" w:y="1217"/>
        <w:numPr>
          <w:ilvl w:val="0"/>
          <w:numId w:val="1"/>
        </w:numPr>
        <w:shd w:val="clear" w:color="auto" w:fill="auto"/>
        <w:spacing w:after="0" w:line="293" w:lineRule="exact"/>
        <w:ind w:left="20" w:firstLine="560"/>
        <w:jc w:val="both"/>
      </w:pPr>
      <w:r>
        <w:t xml:space="preserve"> зобов'язаннями перед банками;</w:t>
      </w:r>
    </w:p>
    <w:p w:rsidR="009B1D29" w:rsidRDefault="00161CB8">
      <w:pPr>
        <w:pStyle w:val="a5"/>
        <w:framePr w:w="9936" w:h="13109" w:hRule="exact" w:wrap="around" w:vAnchor="page" w:hAnchor="page" w:x="999" w:y="1217"/>
        <w:numPr>
          <w:ilvl w:val="0"/>
          <w:numId w:val="1"/>
        </w:numPr>
        <w:shd w:val="clear" w:color="auto" w:fill="auto"/>
        <w:spacing w:after="0" w:line="293" w:lineRule="exact"/>
        <w:ind w:left="20" w:firstLine="560"/>
        <w:jc w:val="both"/>
      </w:pPr>
      <w:r>
        <w:t xml:space="preserve"> зобов'язаннями за розрахунками з бюджетом;</w:t>
      </w:r>
    </w:p>
    <w:p w:rsidR="009B1D29" w:rsidRDefault="00161CB8">
      <w:pPr>
        <w:pStyle w:val="a5"/>
        <w:framePr w:w="9936" w:h="13109" w:hRule="exact" w:wrap="around" w:vAnchor="page" w:hAnchor="page" w:x="999" w:y="1217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t xml:space="preserve"> зобов'язаннями за розрахунками з оплати праці.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Оскільки джерела фінансового забезпечення досить різноманітні, підприємства через систему фінансового менеджменту мають проаналізувати усі їх складові для прийняття рішення щодо доцільності застосування конкретних джерел при фінансуванні господарської діял</w:t>
      </w:r>
      <w:r>
        <w:t xml:space="preserve">ьності. </w:t>
      </w:r>
      <w:r>
        <w:rPr>
          <w:lang w:val="ru-RU" w:eastAsia="ru-RU" w:bidi="ru-RU"/>
        </w:rPr>
        <w:t xml:space="preserve">При </w:t>
      </w:r>
      <w:r>
        <w:t xml:space="preserve">цьому важливим є аналіз обмежень при використанні обраного способу фінансування, своєрідні точки контролю та індикатори ризику. З теоретичної точки зору, на нашу думку концепція структури капіталу підприємства є основою </w:t>
      </w:r>
      <w:r>
        <w:rPr>
          <w:lang w:val="ru-RU" w:eastAsia="ru-RU" w:bidi="ru-RU"/>
        </w:rPr>
        <w:t xml:space="preserve">для </w:t>
      </w:r>
      <w:r>
        <w:t>вибору стратегічного</w:t>
      </w:r>
      <w:r>
        <w:t xml:space="preserve"> напрямку розвитку фінансів і фінансового управління у підприємстві, саме на нього покладається завдання забезпечити зростання ринкової вартості.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 xml:space="preserve">Нині основна проблема полягає у відсутності стрункої наукової методології у законодавчо затвердженому порядку </w:t>
      </w:r>
      <w:r>
        <w:t xml:space="preserve">відображення фінансової діяльності на рахунках обліку та методики їх економічного аналізу. Тому облік об'єктів видів діяльності характеризується недостатнім методичним забезпеченням, зокрема не розроблено методичних рекомендацій з відображення на рахунках </w:t>
      </w:r>
      <w:r>
        <w:t>обліку і в облікових регістрах витрат, доходів і фінансових результатів такої діяльності. Інформація про витрати розпорошена на різних рахунках бухгалтерського обліку (класу 1 та 9), що ускладнює визначення вартості кожного етапу робіт, зокрема за капіталі</w:t>
      </w:r>
      <w:r>
        <w:t>зацією фінансових відсотків і формування загальної суми цих витрат.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Відсутня внутрішня звітність, яка б у систематизованому вигляді надавала інформацію для оперативного управління витратами процесів фінансової діяльності. Таким чином, раціональна організац</w:t>
      </w:r>
      <w:r>
        <w:t xml:space="preserve">ія бухгалтерського обліку та економічного аналізу витрат діяльності, включаючи вибір облікової методики, що відповідає особливостям підприємства, мають створити необхідні умови </w:t>
      </w:r>
      <w:r>
        <w:rPr>
          <w:lang w:val="ru-RU" w:eastAsia="ru-RU" w:bidi="ru-RU"/>
        </w:rPr>
        <w:t xml:space="preserve">для </w:t>
      </w:r>
      <w:r>
        <w:t xml:space="preserve">розширення, прискорення й підвищення ефективності процесів фінансової </w:t>
      </w:r>
      <w:r>
        <w:t>діяльності.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Доцільно відзначити, що всі показники фінансового стану підприємства перебувають у взаємозв'язку та взаємозумовленості. Таким чином оцінка реального фінансового стану підприємства можлива лише за умови використання певної системи показників з у</w:t>
      </w:r>
      <w:r>
        <w:t>рахуванням впливу різних факторів в залежності від видів діяльності.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>Висновки та подальші дослідження. Для формування фінансової стратегії пропонується модель, цільовою функцією якої розглядається функція корисності. Максимізація запропонованої функції кор</w:t>
      </w:r>
      <w:r>
        <w:t>исності при заданих обмеженнях на змінні стану загальних економічних показників і цілей управління дає можливість визначити оптимальну фінансову стратегію. Гнучкість системи фінансового оцінювання і регулювання дозволяє за допомогою визначеної фінансової с</w:t>
      </w:r>
      <w:r>
        <w:t>тратегії формувати й реалізовувати скориговані плани, в тому числі й формувати стратегію фінансової діяльності на перспективу.</w:t>
      </w:r>
    </w:p>
    <w:p w:rsidR="009B1D29" w:rsidRDefault="00161CB8">
      <w:pPr>
        <w:pStyle w:val="a5"/>
        <w:framePr w:w="9936" w:h="13109" w:hRule="exact" w:wrap="around" w:vAnchor="page" w:hAnchor="page" w:x="999" w:y="1217"/>
        <w:shd w:val="clear" w:color="auto" w:fill="auto"/>
        <w:spacing w:after="0"/>
        <w:ind w:left="20" w:right="20" w:firstLine="560"/>
        <w:jc w:val="both"/>
      </w:pPr>
      <w:r>
        <w:t xml:space="preserve">Таким чином фінансова модель, розроблена за обліковими показниками, спрямована на вирішення завдань діяльності підприємства. Цим </w:t>
      </w:r>
      <w:r>
        <w:t>завданням підпорядковуються й організація фінансових відносин і процеси руху та розміщення фінансових ресурсів, порядок формування розподілу та перерозподілу доходів і спрямованість окремих фінансових витрат.</w:t>
      </w:r>
    </w:p>
    <w:p w:rsidR="009B1D29" w:rsidRDefault="00161CB8">
      <w:pPr>
        <w:pStyle w:val="a7"/>
        <w:framePr w:wrap="around" w:vAnchor="page" w:hAnchor="page" w:x="985" w:y="15666"/>
        <w:shd w:val="clear" w:color="auto" w:fill="auto"/>
        <w:spacing w:line="170" w:lineRule="exact"/>
        <w:ind w:left="20"/>
      </w:pPr>
      <w:r>
        <w:t>310</w:t>
      </w:r>
    </w:p>
    <w:p w:rsidR="009B1D29" w:rsidRDefault="009B1D29">
      <w:pPr>
        <w:rPr>
          <w:sz w:val="2"/>
          <w:szCs w:val="2"/>
        </w:rPr>
        <w:sectPr w:rsidR="009B1D2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1D29" w:rsidRDefault="00161CB8">
      <w:pPr>
        <w:pStyle w:val="30"/>
        <w:framePr w:w="9974" w:h="7224" w:hRule="exact" w:wrap="around" w:vAnchor="page" w:hAnchor="page" w:x="980" w:y="1131"/>
        <w:shd w:val="clear" w:color="auto" w:fill="auto"/>
        <w:spacing w:before="0"/>
      </w:pPr>
      <w:r>
        <w:lastRenderedPageBreak/>
        <w:t>Список літератури: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А</w:t>
      </w:r>
      <w:r>
        <w:t xml:space="preserve">ндрєєва В. Г. Синтез системи діагностики управління фінансовою діяльністю підприємства: автореф. дис. на здобуття наук. ступеня </w:t>
      </w:r>
      <w:r>
        <w:rPr>
          <w:lang w:val="ru-RU" w:eastAsia="ru-RU" w:bidi="ru-RU"/>
        </w:rPr>
        <w:t xml:space="preserve">канд. </w:t>
      </w:r>
      <w:r>
        <w:t>екон. наук: спец. 08.06.01 «Економіка, організація і управління підприємством» /В. Г. Андрєєва. - Донецьк, 2004. - 16 с.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</w:t>
      </w:r>
      <w:r>
        <w:t xml:space="preserve">Белялов </w:t>
      </w:r>
      <w:r>
        <w:rPr>
          <w:lang w:val="ru-RU" w:eastAsia="ru-RU" w:bidi="ru-RU"/>
        </w:rPr>
        <w:t xml:space="preserve">Т. </w:t>
      </w:r>
      <w:r>
        <w:t>Е. Механізм управління фінансовою діяльністю підприємств корпоративного типу/</w:t>
      </w:r>
      <w:r>
        <w:rPr>
          <w:lang w:val="ru-RU" w:eastAsia="ru-RU" w:bidi="ru-RU"/>
        </w:rPr>
        <w:t xml:space="preserve">Т. </w:t>
      </w:r>
      <w:r>
        <w:t>Е. Белялов. - К., 2012. - 215 с.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Бутинець Ф. Ф, Бухгалтерський облік у зарубіжних країнах / Ф. Ф. Бутинець, </w:t>
      </w:r>
      <w:r>
        <w:rPr>
          <w:lang w:val="ru-RU" w:eastAsia="ru-RU" w:bidi="ru-RU"/>
        </w:rPr>
        <w:t xml:space="preserve">Л. </w:t>
      </w:r>
      <w:r>
        <w:t>Л. Горецька / навч. посіб. [для студ. вищих навч. зал</w:t>
      </w:r>
      <w:r>
        <w:t>. спец. 7.050106 «Облік і аудит»] - Житомир: ПП «Рута», 2008. - 544 с.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Вигівська І. М. Проблеми трактування понять "фонд ", "резерв", "оціночний резерв", "регулятив", "забезпечення" [Електронний ресурс]. - / І. М. Вигівська. - Джерело доступу: </w:t>
      </w:r>
      <w:hyperlink r:id="rId8" w:history="1">
        <w:r>
          <w:rPr>
            <w:rStyle w:val="a3"/>
            <w:lang w:val="en-US" w:eastAsia="en-US" w:bidi="en-US"/>
          </w:rPr>
          <w:t>www.kntu.kx.ua/doc/zb_18_l</w:t>
        </w:r>
      </w:hyperlink>
      <w:r>
        <w:rPr>
          <w:lang w:val="en-US" w:eastAsia="en-US" w:bidi="en-US"/>
        </w:rPr>
        <w:t xml:space="preserve"> ./09.pdf.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Голубка Я. Моделі співіснування бухгалтерського обліку [Електронний ресурс] / Я. Голубка. - Джерело доступу: </w:t>
      </w:r>
      <w:r>
        <w:rPr>
          <w:lang w:val="en-US" w:eastAsia="en-US" w:bidi="en-US"/>
        </w:rPr>
        <w:t xml:space="preserve">nbuv.gov. </w:t>
      </w:r>
      <w:r>
        <w:t>иа/роіїаІ/Бос.../ЕС21</w:t>
      </w:r>
      <w:r>
        <w:rPr>
          <w:lang w:val="en-US" w:eastAsia="en-US" w:bidi="en-US"/>
        </w:rPr>
        <w:t>0_08.pdf.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tabs>
          <w:tab w:val="left" w:pos="4379"/>
          <w:tab w:val="left" w:pos="7130"/>
        </w:tabs>
        <w:ind w:left="40" w:right="40" w:firstLine="580"/>
      </w:pPr>
      <w:r>
        <w:t xml:space="preserve"> Гуцаленко Л. В. Методологічні основи обліку прибутків у міжнародних облікових стандартах [Електронний ресурс]</w:t>
      </w:r>
      <w:r>
        <w:tab/>
        <w:t>/ Л. В. Гуцаленко.</w:t>
      </w:r>
      <w:r>
        <w:tab/>
        <w:t>- Джерело доступу :</w:t>
      </w:r>
    </w:p>
    <w:p w:rsidR="009B1D29" w:rsidRDefault="009B1D29">
      <w:pPr>
        <w:pStyle w:val="40"/>
        <w:framePr w:w="9974" w:h="7224" w:hRule="exact" w:wrap="around" w:vAnchor="page" w:hAnchor="page" w:x="980" w:y="1131"/>
        <w:shd w:val="clear" w:color="auto" w:fill="auto"/>
        <w:ind w:left="40"/>
        <w:jc w:val="left"/>
      </w:pPr>
      <w:hyperlink r:id="rId9" w:history="1">
        <w:r w:rsidR="00161CB8">
          <w:rPr>
            <w:rStyle w:val="a3"/>
            <w:lang w:val="en-US" w:eastAsia="en-US" w:bidi="en-US"/>
          </w:rPr>
          <w:t>www.nbuv.gov</w:t>
        </w:r>
      </w:hyperlink>
      <w:r w:rsidR="00161CB8">
        <w:rPr>
          <w:lang w:val="en-US" w:eastAsia="en-US" w:bidi="en-US"/>
        </w:rPr>
        <w:t xml:space="preserve">. </w:t>
      </w:r>
      <w:r w:rsidR="00161CB8">
        <w:t>иа/ро^аІ/Бос. ./1</w:t>
      </w:r>
      <w:r w:rsidR="00161CB8">
        <w:rPr>
          <w:lang w:val="en-US" w:eastAsia="en-US" w:bidi="en-US"/>
        </w:rPr>
        <w:t>20.pdf</w:t>
      </w:r>
      <w:r w:rsidR="00161CB8">
        <w:t>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Жук В. М. Предмет та об ’єкти бу</w:t>
      </w:r>
      <w:r>
        <w:t xml:space="preserve">хгалтерського обліку сільськогосподарської діяльності [Електронний ресурс] / В. М. Жук. - Джерело доступу : </w:t>
      </w:r>
      <w:hyperlink r:id="rId10" w:history="1">
        <w:r>
          <w:rPr>
            <w:rStyle w:val="a3"/>
          </w:rPr>
          <w:t>www.</w:t>
        </w:r>
        <w:r>
          <w:rPr>
            <w:rStyle w:val="a3"/>
            <w:lang w:val="en-US" w:eastAsia="en-US" w:bidi="en-US"/>
          </w:rPr>
          <w:t>nbuv.gov</w:t>
        </w:r>
      </w:hyperlink>
      <w:r>
        <w:rPr>
          <w:lang w:val="en-US" w:eastAsia="en-US" w:bidi="en-US"/>
        </w:rPr>
        <w:t xml:space="preserve">, </w:t>
      </w:r>
      <w:r>
        <w:t>u.a/portal/soc... 2Е1</w:t>
      </w:r>
      <w:r>
        <w:rPr>
          <w:lang w:val="en-US" w:eastAsia="en-US" w:bidi="en-US"/>
        </w:rPr>
        <w:t>5.pdf</w:t>
      </w:r>
      <w:r>
        <w:t>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ind w:left="40" w:right="40" w:firstLine="580"/>
      </w:pPr>
      <w:r>
        <w:t xml:space="preserve"> Інструкція про застосування Плану рахунків бухгалтерського обліку актив</w:t>
      </w:r>
      <w:r>
        <w:t>ів, капіталу, зобов'язань і господарських операцій підприємств і організацій, затверджена наказом Міністерства фінансів України від 30.11.99р. № 291 //Бухгалтерський облік і аудит. - 2000. - № 1. - С. 14 - 64.</w:t>
      </w:r>
    </w:p>
    <w:p w:rsidR="009B1D29" w:rsidRDefault="00161CB8">
      <w:pPr>
        <w:pStyle w:val="40"/>
        <w:framePr w:w="9974" w:h="7224" w:hRule="exact" w:wrap="around" w:vAnchor="page" w:hAnchor="page" w:x="980" w:y="1131"/>
        <w:numPr>
          <w:ilvl w:val="0"/>
          <w:numId w:val="3"/>
        </w:numPr>
        <w:shd w:val="clear" w:color="auto" w:fill="auto"/>
        <w:tabs>
          <w:tab w:val="left" w:pos="2722"/>
          <w:tab w:val="left" w:pos="7470"/>
        </w:tabs>
        <w:ind w:left="40" w:firstLine="580"/>
      </w:pPr>
      <w:r>
        <w:t xml:space="preserve"> Ліга Закон,</w:t>
      </w:r>
      <w:r>
        <w:tab/>
        <w:t>2011. Портал [Електронний ресурс]</w:t>
      </w:r>
      <w:r>
        <w:t>.</w:t>
      </w:r>
      <w:r>
        <w:tab/>
        <w:t>- Джерело доступу:</w:t>
      </w:r>
    </w:p>
    <w:p w:rsidR="009B1D29" w:rsidRDefault="009B1D29">
      <w:pPr>
        <w:pStyle w:val="40"/>
        <w:framePr w:w="9974" w:h="7224" w:hRule="exact" w:wrap="around" w:vAnchor="page" w:hAnchor="page" w:x="980" w:y="1131"/>
        <w:shd w:val="clear" w:color="auto" w:fill="auto"/>
        <w:ind w:left="40"/>
        <w:jc w:val="left"/>
      </w:pPr>
      <w:hyperlink r:id="rId11" w:history="1">
        <w:r w:rsidR="00161CB8">
          <w:rPr>
            <w:rStyle w:val="a3"/>
          </w:rPr>
          <w:t>http://wwwligazakon</w:t>
        </w:r>
      </w:hyperlink>
      <w:r w:rsidR="00161CB8">
        <w:t>. u.a.</w:t>
      </w:r>
    </w:p>
    <w:p w:rsidR="009B1D29" w:rsidRDefault="00161CB8">
      <w:pPr>
        <w:pStyle w:val="a7"/>
        <w:framePr w:wrap="around" w:vAnchor="page" w:hAnchor="page" w:x="980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9B1D29" w:rsidRDefault="00161CB8">
      <w:pPr>
        <w:pStyle w:val="a7"/>
        <w:framePr w:wrap="around" w:vAnchor="page" w:hAnchor="page" w:x="10604" w:y="15623"/>
        <w:shd w:val="clear" w:color="auto" w:fill="auto"/>
        <w:spacing w:line="170" w:lineRule="exact"/>
        <w:ind w:left="20"/>
      </w:pPr>
      <w:r>
        <w:t>311</w:t>
      </w:r>
    </w:p>
    <w:p w:rsidR="009B1D29" w:rsidRDefault="009B1D29">
      <w:pPr>
        <w:rPr>
          <w:sz w:val="2"/>
          <w:szCs w:val="2"/>
        </w:rPr>
      </w:pPr>
    </w:p>
    <w:sectPr w:rsidR="009B1D29" w:rsidSect="009B1D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B8" w:rsidRDefault="00161CB8" w:rsidP="009B1D29">
      <w:r>
        <w:separator/>
      </w:r>
    </w:p>
  </w:endnote>
  <w:endnote w:type="continuationSeparator" w:id="1">
    <w:p w:rsidR="00161CB8" w:rsidRDefault="00161CB8" w:rsidP="009B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B8" w:rsidRDefault="00161CB8"/>
  </w:footnote>
  <w:footnote w:type="continuationSeparator" w:id="1">
    <w:p w:rsidR="00161CB8" w:rsidRDefault="00161C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2CE"/>
    <w:multiLevelType w:val="multilevel"/>
    <w:tmpl w:val="48322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B541B"/>
    <w:multiLevelType w:val="multilevel"/>
    <w:tmpl w:val="CFBA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C6E04"/>
    <w:multiLevelType w:val="multilevel"/>
    <w:tmpl w:val="5BB8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1D29"/>
    <w:rsid w:val="00161CB8"/>
    <w:rsid w:val="009B1D29"/>
    <w:rsid w:val="00E7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D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D29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9B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  <w:lang w:val="ru-RU" w:eastAsia="ru-RU" w:bidi="ru-RU"/>
    </w:rPr>
  </w:style>
  <w:style w:type="character" w:customStyle="1" w:styleId="a4">
    <w:name w:val="Основний текст_"/>
    <w:basedOn w:val="a0"/>
    <w:link w:val="a5"/>
    <w:rsid w:val="009B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9B1D29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sid w:val="009B1D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Основний текст (2)"/>
    <w:basedOn w:val="2"/>
    <w:rsid w:val="009B1D29"/>
    <w:rPr>
      <w:color w:val="000000"/>
      <w:w w:val="100"/>
      <w:position w:val="0"/>
      <w:u w:val="single"/>
    </w:rPr>
  </w:style>
  <w:style w:type="character" w:customStyle="1" w:styleId="40pt">
    <w:name w:val="Основний текст (4) + Напівжирний;Інтервал 0 pt"/>
    <w:basedOn w:val="4"/>
    <w:rsid w:val="009B1D29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9B1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ий текст + Напівжирний;Інтервал 0 pt"/>
    <w:basedOn w:val="a4"/>
    <w:rsid w:val="009B1D29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9B1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a">
    <w:name w:val="Підпис до таблиці"/>
    <w:basedOn w:val="a8"/>
    <w:rsid w:val="009B1D29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b">
    <w:name w:val="Основний текст"/>
    <w:basedOn w:val="a4"/>
    <w:rsid w:val="009B1D29"/>
    <w:rPr>
      <w:color w:val="000000"/>
      <w:w w:val="100"/>
      <w:position w:val="0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9B1D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ru-RU" w:eastAsia="ru-RU" w:bidi="ru-RU"/>
    </w:rPr>
  </w:style>
  <w:style w:type="paragraph" w:customStyle="1" w:styleId="a5">
    <w:name w:val="Основний текст"/>
    <w:basedOn w:val="a"/>
    <w:link w:val="a4"/>
    <w:rsid w:val="009B1D29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ий текст (3)"/>
    <w:basedOn w:val="a"/>
    <w:link w:val="3"/>
    <w:rsid w:val="009B1D29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40">
    <w:name w:val="Основний текст (4)"/>
    <w:basedOn w:val="a"/>
    <w:link w:val="4"/>
    <w:rsid w:val="009B1D2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a7">
    <w:name w:val="Колонтитул"/>
    <w:basedOn w:val="a"/>
    <w:link w:val="a6"/>
    <w:rsid w:val="009B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a9">
    <w:name w:val="Підпис до таблиці"/>
    <w:basedOn w:val="a"/>
    <w:link w:val="a8"/>
    <w:rsid w:val="009B1D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tu.kx.ua/doc/zb_18_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af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ligazak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bu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12270</Words>
  <Characters>6995</Characters>
  <Application>Microsoft Office Word</Application>
  <DocSecurity>0</DocSecurity>
  <Lines>58</Lines>
  <Paragraphs>38</Paragraphs>
  <ScaleCrop>false</ScaleCrop>
  <Company>Microsoft</Company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2017-06-30T09:07:00Z</dcterms:created>
  <dcterms:modified xsi:type="dcterms:W3CDTF">2017-06-30T09:07:00Z</dcterms:modified>
</cp:coreProperties>
</file>