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74" w:rsidRDefault="0018067B">
      <w:pPr>
        <w:pStyle w:val="20"/>
        <w:framePr w:wrap="around" w:vAnchor="page" w:hAnchor="page" w:x="978" w:y="1270"/>
        <w:shd w:val="clear" w:color="auto" w:fill="auto"/>
        <w:spacing w:after="0" w:line="210" w:lineRule="exact"/>
        <w:ind w:left="20"/>
      </w:pPr>
      <w:r>
        <w:rPr>
          <w:lang w:val="uk-UA" w:eastAsia="uk-UA" w:bidi="uk-UA"/>
        </w:rPr>
        <w:t>УДК 336. 717.3</w:t>
      </w:r>
    </w:p>
    <w:p w:rsidR="007B3874" w:rsidRDefault="0018067B">
      <w:pPr>
        <w:pStyle w:val="20"/>
        <w:framePr w:w="9979" w:h="13330" w:hRule="exact" w:wrap="around" w:vAnchor="page" w:hAnchor="page" w:x="978" w:y="1771"/>
        <w:shd w:val="clear" w:color="auto" w:fill="auto"/>
        <w:spacing w:after="0" w:line="274" w:lineRule="exact"/>
        <w:jc w:val="center"/>
      </w:pPr>
      <w:r>
        <w:rPr>
          <w:lang w:val="uk-UA" w:eastAsia="uk-UA" w:bidi="uk-UA"/>
        </w:rPr>
        <w:t>Ярослав Іванович ЧАЙКОВСЬКИЙ</w:t>
      </w:r>
    </w:p>
    <w:p w:rsidR="007B3874" w:rsidRDefault="0018067B">
      <w:pPr>
        <w:pStyle w:val="a5"/>
        <w:framePr w:w="9979" w:h="13330" w:hRule="exact" w:wrap="around" w:vAnchor="page" w:hAnchor="page" w:x="978" w:y="1771"/>
        <w:shd w:val="clear" w:color="auto" w:fill="auto"/>
        <w:spacing w:after="351"/>
      </w:pPr>
      <w:r>
        <w:t xml:space="preserve">к.е.н., доцент, доцент кафедри банківської справи Тернопільського національного економічного університету, вул. Львівська, 11, м. Тернопіль, 46020, Україна </w:t>
      </w:r>
      <w:r>
        <w:rPr>
          <w:lang w:val="en-US" w:eastAsia="en-US" w:bidi="en-US"/>
        </w:rPr>
        <w:t xml:space="preserve">E-mail: </w:t>
      </w:r>
      <w:hyperlink r:id="rId7" w:history="1">
        <w:r>
          <w:rPr>
            <w:rStyle w:val="a3"/>
            <w:lang w:val="en-US" w:eastAsia="en-US" w:bidi="en-US"/>
          </w:rPr>
          <w:t>slawik1966@gmail.com</w:t>
        </w:r>
      </w:hyperlink>
      <w:r>
        <w:rPr>
          <w:lang w:val="en-US" w:eastAsia="en-US" w:bidi="en-US"/>
        </w:rPr>
        <w:t xml:space="preserve"> </w:t>
      </w:r>
      <w:r>
        <w:t xml:space="preserve">Телефон: +380674938471 </w:t>
      </w:r>
      <w:r>
        <w:rPr>
          <w:rStyle w:val="0pt"/>
        </w:rPr>
        <w:t xml:space="preserve">Іванна Ярославівна ЧАЙКОВСЬКА </w:t>
      </w:r>
      <w:r>
        <w:t xml:space="preserve">студентка 5 курсу факультету фінансів Тернопільського національного економічного університету, вул. Львівська, 11, м. Тернопіль, 46020, Україна </w:t>
      </w:r>
      <w:r>
        <w:rPr>
          <w:lang w:val="en-US" w:eastAsia="en-US" w:bidi="en-US"/>
        </w:rPr>
        <w:t xml:space="preserve">E-mail: </w:t>
      </w:r>
      <w:hyperlink r:id="rId8" w:history="1">
        <w:r>
          <w:rPr>
            <w:rStyle w:val="a3"/>
            <w:lang w:val="en-US" w:eastAsia="en-US" w:bidi="en-US"/>
          </w:rPr>
          <w:t>ch.ivanna1993@gmail.com</w:t>
        </w:r>
      </w:hyperlink>
      <w:r>
        <w:rPr>
          <w:lang w:val="en-US" w:eastAsia="en-US" w:bidi="en-US"/>
        </w:rPr>
        <w:t xml:space="preserve"> </w:t>
      </w:r>
      <w:r>
        <w:t>Телефон: +380987146054</w:t>
      </w:r>
    </w:p>
    <w:p w:rsidR="007B3874" w:rsidRDefault="0018067B">
      <w:pPr>
        <w:pStyle w:val="20"/>
        <w:framePr w:w="9979" w:h="13330" w:hRule="exact" w:wrap="around" w:vAnchor="page" w:hAnchor="page" w:x="978" w:y="1771"/>
        <w:shd w:val="clear" w:color="auto" w:fill="auto"/>
        <w:spacing w:after="0" w:line="210" w:lineRule="exact"/>
        <w:jc w:val="center"/>
      </w:pPr>
      <w:r>
        <w:rPr>
          <w:lang w:val="uk-UA" w:eastAsia="uk-UA" w:bidi="uk-UA"/>
        </w:rPr>
        <w:t>АНАЛІЗ СУЧАСНОГО СТАНУ ТА РОЛЬ ДЕПОЗИТНИХ КОШТІВ У КРЕД</w:t>
      </w:r>
      <w:r>
        <w:rPr>
          <w:rStyle w:val="21"/>
          <w:b/>
          <w:bCs/>
        </w:rPr>
        <w:t>И</w:t>
      </w:r>
      <w:r>
        <w:rPr>
          <w:lang w:val="uk-UA" w:eastAsia="uk-UA" w:bidi="uk-UA"/>
        </w:rPr>
        <w:t>Т</w:t>
      </w:r>
      <w:r>
        <w:rPr>
          <w:rStyle w:val="21"/>
          <w:b/>
          <w:bCs/>
        </w:rPr>
        <w:t>НІЙ</w:t>
      </w:r>
    </w:p>
    <w:p w:rsidR="007B3874" w:rsidRDefault="0018067B">
      <w:pPr>
        <w:pStyle w:val="20"/>
        <w:framePr w:w="9979" w:h="13330" w:hRule="exact" w:wrap="around" w:vAnchor="page" w:hAnchor="page" w:x="978" w:y="1771"/>
        <w:shd w:val="clear" w:color="auto" w:fill="auto"/>
        <w:spacing w:after="207" w:line="210" w:lineRule="exact"/>
        <w:jc w:val="center"/>
      </w:pPr>
      <w:r>
        <w:rPr>
          <w:lang w:val="uk-UA" w:eastAsia="uk-UA" w:bidi="uk-UA"/>
        </w:rPr>
        <w:t>ДІЯЛЬНОСТІ БАНКІВ В УКР</w:t>
      </w:r>
      <w:r>
        <w:rPr>
          <w:rStyle w:val="21"/>
          <w:b/>
          <w:bCs/>
        </w:rPr>
        <w:t>АЇНІ</w:t>
      </w:r>
    </w:p>
    <w:p w:rsidR="007B3874" w:rsidRDefault="0018067B">
      <w:pPr>
        <w:pStyle w:val="30"/>
        <w:framePr w:w="9979" w:h="13330" w:hRule="exact" w:wrap="around" w:vAnchor="page" w:hAnchor="page" w:x="978" w:y="1771"/>
        <w:shd w:val="clear" w:color="auto" w:fill="auto"/>
        <w:spacing w:before="0"/>
      </w:pPr>
      <w:r>
        <w:rPr>
          <w:lang w:val="uk-UA" w:eastAsia="uk-UA" w:bidi="uk-UA"/>
        </w:rPr>
        <w:t>Анотація</w:t>
      </w:r>
    </w:p>
    <w:p w:rsidR="007B3874" w:rsidRDefault="0018067B">
      <w:pPr>
        <w:pStyle w:val="40"/>
        <w:framePr w:w="9979" w:h="13330" w:hRule="exact" w:wrap="around" w:vAnchor="page" w:hAnchor="page" w:x="978" w:y="1771"/>
        <w:shd w:val="clear" w:color="auto" w:fill="auto"/>
        <w:ind w:left="20" w:right="20"/>
      </w:pPr>
      <w:r>
        <w:t>Метою статті є аналіз сучасного стану та розробка адекватних заходів з розвитку і вдосконален</w:t>
      </w:r>
      <w:r>
        <w:t>ня депозитних операцій банків для розширення їх кредитної діяльності.</w:t>
      </w:r>
    </w:p>
    <w:p w:rsidR="007B3874" w:rsidRDefault="0018067B">
      <w:pPr>
        <w:pStyle w:val="40"/>
        <w:framePr w:w="9979" w:h="13330" w:hRule="exact" w:wrap="around" w:vAnchor="page" w:hAnchor="page" w:x="978" w:y="1771"/>
        <w:shd w:val="clear" w:color="auto" w:fill="auto"/>
        <w:ind w:left="20" w:right="20"/>
      </w:pPr>
      <w:r>
        <w:t xml:space="preserve">Методика дослідження. Методологічною базою дослідження є сукупність загальнонаукових та спеціальних прийомів і методів дослідження. Зокрема, у статті застосовано загальнонаукові методи </w:t>
      </w:r>
      <w:r>
        <w:t>пізнання, діалектичний підхід до визначення причинно- наслідкових зв ’язків між явищами і процесами, що відбуваються в сфері депозитних операцій банківських установ. Для аналізу сучасного стану ресурсів банківських установ та дослідження процесу управління</w:t>
      </w:r>
      <w:r>
        <w:t xml:space="preserve"> їх депозитними операціями використовувались методи аналізу і синтезу, узагальнення, індукція і дедукція, порівняльний аналіз динаміки показників.</w:t>
      </w:r>
    </w:p>
    <w:p w:rsidR="007B3874" w:rsidRDefault="0018067B">
      <w:pPr>
        <w:pStyle w:val="40"/>
        <w:framePr w:w="9979" w:h="13330" w:hRule="exact" w:wrap="around" w:vAnchor="page" w:hAnchor="page" w:x="978" w:y="1771"/>
        <w:shd w:val="clear" w:color="auto" w:fill="auto"/>
        <w:ind w:left="20"/>
      </w:pPr>
      <w:r>
        <w:t>Наукова новизна отриманих результатів полягає у наступному :</w:t>
      </w:r>
    </w:p>
    <w:p w:rsidR="007B3874" w:rsidRDefault="0018067B">
      <w:pPr>
        <w:pStyle w:val="40"/>
        <w:framePr w:w="9979" w:h="13330" w:hRule="exact" w:wrap="around" w:vAnchor="page" w:hAnchor="page" w:x="978" w:y="1771"/>
        <w:numPr>
          <w:ilvl w:val="0"/>
          <w:numId w:val="1"/>
        </w:numPr>
        <w:shd w:val="clear" w:color="auto" w:fill="auto"/>
        <w:ind w:left="20" w:right="20"/>
      </w:pPr>
      <w:r>
        <w:rPr>
          <w:rStyle w:val="485pt0pt"/>
        </w:rPr>
        <w:t xml:space="preserve"> </w:t>
      </w:r>
      <w:r>
        <w:t>дістало подальшого розвитку дослідження становл</w:t>
      </w:r>
      <w:r>
        <w:t>ення та сучасного стану депозитних коштів резидентів у банківських установах України за секторами економіки. Проведено аналіз динаміки і структури депозитів юридичних осіб та вкладів фізичних осіб за період 2009-2013 років у банківській системі України у р</w:t>
      </w:r>
      <w:r>
        <w:t>озрізі видів валют та строків погашення. Визначено тенденції останніх змін, що дозволило оцінити ефективність проведення депозитних операцій банківських установ України в сучасних умовах;</w:t>
      </w:r>
    </w:p>
    <w:p w:rsidR="007B3874" w:rsidRDefault="0018067B">
      <w:pPr>
        <w:pStyle w:val="40"/>
        <w:framePr w:w="9979" w:h="13330" w:hRule="exact" w:wrap="around" w:vAnchor="page" w:hAnchor="page" w:x="978" w:y="1771"/>
        <w:numPr>
          <w:ilvl w:val="0"/>
          <w:numId w:val="1"/>
        </w:numPr>
        <w:shd w:val="clear" w:color="auto" w:fill="auto"/>
        <w:ind w:left="20" w:right="20"/>
      </w:pPr>
      <w:r>
        <w:rPr>
          <w:rStyle w:val="485pt0pt"/>
        </w:rPr>
        <w:t xml:space="preserve"> </w:t>
      </w:r>
      <w:r>
        <w:t>обґрунтовано заходи з розвитку та вдосконалення депозитних операцій</w:t>
      </w:r>
      <w:r>
        <w:t xml:space="preserve"> для реалізації цілей банківських установ у сфері організації кредитних відносин з позичальниками.</w:t>
      </w:r>
    </w:p>
    <w:p w:rsidR="007B3874" w:rsidRDefault="0018067B">
      <w:pPr>
        <w:pStyle w:val="40"/>
        <w:framePr w:w="9979" w:h="13330" w:hRule="exact" w:wrap="around" w:vAnchor="page" w:hAnchor="page" w:x="978" w:y="1771"/>
        <w:shd w:val="clear" w:color="auto" w:fill="auto"/>
        <w:ind w:left="20" w:right="20"/>
      </w:pPr>
      <w:r>
        <w:t>Практичне значення отриманих результатів полягає у науковому обгрунтуванні шляхів подальшого розвитку депозитних операцій банків з формування банківських рес</w:t>
      </w:r>
      <w:r>
        <w:t>урсів, що становить внесок у сучасні підходи до забезпечення ресурсами та функціонування банківської системи України.</w:t>
      </w:r>
    </w:p>
    <w:p w:rsidR="007B3874" w:rsidRDefault="0018067B">
      <w:pPr>
        <w:pStyle w:val="40"/>
        <w:framePr w:w="9979" w:h="13330" w:hRule="exact" w:wrap="around" w:vAnchor="page" w:hAnchor="page" w:x="978" w:y="1771"/>
        <w:shd w:val="clear" w:color="auto" w:fill="auto"/>
        <w:ind w:left="20" w:right="20"/>
      </w:pPr>
      <w:r>
        <w:t xml:space="preserve">Основні висновки та отримані результати можуть бути застосовані при розробці механізму залучення ресурсів банківськими установами України </w:t>
      </w:r>
      <w:r>
        <w:t>у процесі здійснення депозитних та кредитних операцій.</w:t>
      </w:r>
    </w:p>
    <w:p w:rsidR="007B3874" w:rsidRDefault="0018067B">
      <w:pPr>
        <w:pStyle w:val="40"/>
        <w:framePr w:w="9979" w:h="13330" w:hRule="exact" w:wrap="around" w:vAnchor="page" w:hAnchor="page" w:x="978" w:y="1771"/>
        <w:shd w:val="clear" w:color="auto" w:fill="auto"/>
        <w:ind w:left="20" w:right="20"/>
      </w:pPr>
      <w:r>
        <w:t>Результати дослідження мають прикладне значення і можуть бути ефективно використані банківськими установами з метою створення збалансованої структури їх ресурсів і поліпшення організації управління деп</w:t>
      </w:r>
      <w:r>
        <w:t>озитними та кредитними операціями банківської установи.</w:t>
      </w:r>
    </w:p>
    <w:p w:rsidR="007B3874" w:rsidRDefault="0018067B">
      <w:pPr>
        <w:pStyle w:val="40"/>
        <w:framePr w:w="9979" w:h="13330" w:hRule="exact" w:wrap="around" w:vAnchor="page" w:hAnchor="page" w:x="978" w:y="1771"/>
        <w:shd w:val="clear" w:color="auto" w:fill="auto"/>
        <w:ind w:left="20" w:right="20"/>
      </w:pPr>
      <w:r>
        <w:rPr>
          <w:rStyle w:val="40pt"/>
          <w:i/>
          <w:iCs/>
          <w:lang w:val="uk-UA" w:eastAsia="uk-UA" w:bidi="uk-UA"/>
        </w:rPr>
        <w:t>Ключові слова</w:t>
      </w:r>
      <w:r>
        <w:t>: банківські установи; банківські ресурси; депозити резидентів; депозити домашніх господарств; депозити нефінансових корпорацій; депозитні проценти; кредити.</w:t>
      </w:r>
    </w:p>
    <w:p w:rsidR="007B3874" w:rsidRDefault="0018067B">
      <w:pPr>
        <w:pStyle w:val="a7"/>
        <w:framePr w:wrap="around" w:vAnchor="page" w:hAnchor="page" w:x="982" w:y="15663"/>
        <w:shd w:val="clear" w:color="auto" w:fill="auto"/>
        <w:spacing w:line="170" w:lineRule="exact"/>
        <w:ind w:left="20"/>
      </w:pPr>
      <w:r>
        <w:t>282</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20"/>
        <w:framePr w:w="9965" w:h="620" w:hRule="exact" w:wrap="around" w:vAnchor="page" w:hAnchor="page" w:x="985" w:y="1397"/>
        <w:shd w:val="clear" w:color="auto" w:fill="auto"/>
        <w:spacing w:after="0" w:line="278" w:lineRule="exact"/>
        <w:ind w:right="20"/>
        <w:jc w:val="center"/>
      </w:pPr>
      <w:r>
        <w:rPr>
          <w:lang w:val="uk-UA" w:eastAsia="uk-UA" w:bidi="uk-UA"/>
        </w:rPr>
        <w:lastRenderedPageBreak/>
        <w:t>Яро</w:t>
      </w:r>
      <w:r>
        <w:rPr>
          <w:lang w:val="uk-UA" w:eastAsia="uk-UA" w:bidi="uk-UA"/>
        </w:rPr>
        <w:t xml:space="preserve">слав </w:t>
      </w:r>
      <w:r>
        <w:t>Иванович ЧАЙКОВСКИЙ, Иванна Ярославовна ЧАЙКОВСКАЯ</w:t>
      </w:r>
    </w:p>
    <w:p w:rsidR="007B3874" w:rsidRDefault="0018067B">
      <w:pPr>
        <w:pStyle w:val="20"/>
        <w:framePr w:w="9965" w:h="10848" w:hRule="exact" w:wrap="around" w:vAnchor="page" w:hAnchor="page" w:x="985" w:y="2232"/>
        <w:shd w:val="clear" w:color="auto" w:fill="auto"/>
        <w:spacing w:after="240" w:line="274" w:lineRule="exact"/>
        <w:ind w:right="20"/>
        <w:jc w:val="center"/>
      </w:pPr>
      <w:r>
        <w:t>АНАЛИЗ СОВРЕМЕННОГО СОСТОЯНИЯ И РОЛЬ ДЕПОЗИТНЫХ СРЕДСТВ В КРЕДИТНОЙ ДЕЯТЕЛЬНОСТИ БАНКОВ В УКРАИНЕ</w:t>
      </w:r>
    </w:p>
    <w:p w:rsidR="007B3874" w:rsidRDefault="0018067B">
      <w:pPr>
        <w:pStyle w:val="30"/>
        <w:framePr w:w="9965" w:h="10848" w:hRule="exact" w:wrap="around" w:vAnchor="page" w:hAnchor="page" w:x="985" w:y="2232"/>
        <w:shd w:val="clear" w:color="auto" w:fill="auto"/>
        <w:spacing w:before="0"/>
        <w:ind w:right="20"/>
      </w:pPr>
      <w:r>
        <w:t>Аннотация</w:t>
      </w:r>
    </w:p>
    <w:p w:rsidR="007B3874" w:rsidRDefault="0018067B">
      <w:pPr>
        <w:pStyle w:val="40"/>
        <w:framePr w:w="9965" w:h="10848" w:hRule="exact" w:wrap="around" w:vAnchor="page" w:hAnchor="page" w:x="985" w:y="2232"/>
        <w:shd w:val="clear" w:color="auto" w:fill="auto"/>
        <w:ind w:left="40" w:right="20"/>
      </w:pPr>
      <w:r>
        <w:rPr>
          <w:lang w:val="ru-RU" w:eastAsia="ru-RU" w:bidi="ru-RU"/>
        </w:rPr>
        <w:t xml:space="preserve">Целью статьи является анализ современного состояния и разработка адекватных мер по развитию </w:t>
      </w:r>
      <w:r>
        <w:rPr>
          <w:lang w:val="ru-RU" w:eastAsia="ru-RU" w:bidi="ru-RU"/>
        </w:rPr>
        <w:t>и совершенствованию депозитных операций банков для расширения их кредитной деятельности.</w:t>
      </w:r>
    </w:p>
    <w:p w:rsidR="007B3874" w:rsidRDefault="0018067B">
      <w:pPr>
        <w:pStyle w:val="40"/>
        <w:framePr w:w="9965" w:h="10848" w:hRule="exact" w:wrap="around" w:vAnchor="page" w:hAnchor="page" w:x="985" w:y="2232"/>
        <w:shd w:val="clear" w:color="auto" w:fill="auto"/>
        <w:ind w:left="40" w:right="20"/>
      </w:pPr>
      <w:r>
        <w:rPr>
          <w:lang w:val="ru-RU" w:eastAsia="ru-RU" w:bidi="ru-RU"/>
        </w:rPr>
        <w:t>Методика исследования. Методологической базой исследования является совокупность общенаучных и специальных приемов и методов исследования. В частности, в статье примен</w:t>
      </w:r>
      <w:r>
        <w:rPr>
          <w:lang w:val="ru-RU" w:eastAsia="ru-RU" w:bidi="ru-RU"/>
        </w:rPr>
        <w:t>ены общенаучные методы познания, диалектический подход к определению причинно</w:t>
      </w:r>
      <w:r>
        <w:rPr>
          <w:lang w:val="ru-RU" w:eastAsia="ru-RU" w:bidi="ru-RU"/>
        </w:rPr>
        <w:softHyphen/>
        <w:t>следственных связей между явлениями и процессами, происходящими в сфере депозитных операций банковских учреждений. Для анализа современного состояния ресурсов банков и исследован</w:t>
      </w:r>
      <w:r>
        <w:rPr>
          <w:lang w:val="ru-RU" w:eastAsia="ru-RU" w:bidi="ru-RU"/>
        </w:rPr>
        <w:t>ия процесса управления их депозитным операциям использовались методы анализа и синтеза, обобщения, индукция и дедукция, сравнительный анализ динамики показателей.</w:t>
      </w:r>
    </w:p>
    <w:p w:rsidR="007B3874" w:rsidRDefault="0018067B">
      <w:pPr>
        <w:pStyle w:val="40"/>
        <w:framePr w:w="9965" w:h="10848" w:hRule="exact" w:wrap="around" w:vAnchor="page" w:hAnchor="page" w:x="985" w:y="2232"/>
        <w:shd w:val="clear" w:color="auto" w:fill="auto"/>
        <w:ind w:left="40"/>
      </w:pPr>
      <w:r>
        <w:rPr>
          <w:lang w:val="ru-RU" w:eastAsia="ru-RU" w:bidi="ru-RU"/>
        </w:rPr>
        <w:t>Научная новизна полученных результатов заключается в следующем:</w:t>
      </w:r>
    </w:p>
    <w:p w:rsidR="007B3874" w:rsidRDefault="0018067B">
      <w:pPr>
        <w:pStyle w:val="40"/>
        <w:framePr w:w="9965" w:h="10848" w:hRule="exact" w:wrap="around" w:vAnchor="page" w:hAnchor="page" w:x="985" w:y="2232"/>
        <w:numPr>
          <w:ilvl w:val="0"/>
          <w:numId w:val="1"/>
        </w:numPr>
        <w:shd w:val="clear" w:color="auto" w:fill="auto"/>
        <w:ind w:left="40" w:right="20"/>
      </w:pPr>
      <w:r>
        <w:rPr>
          <w:rStyle w:val="485pt0pt"/>
          <w:lang w:val="ru-RU" w:eastAsia="ru-RU" w:bidi="ru-RU"/>
        </w:rPr>
        <w:t xml:space="preserve"> </w:t>
      </w:r>
      <w:r>
        <w:rPr>
          <w:lang w:val="ru-RU" w:eastAsia="ru-RU" w:bidi="ru-RU"/>
        </w:rPr>
        <w:t>получило дальнейшего развити</w:t>
      </w:r>
      <w:r>
        <w:rPr>
          <w:lang w:val="ru-RU" w:eastAsia="ru-RU" w:bidi="ru-RU"/>
        </w:rPr>
        <w:t>я исследования становления и современного состояния депозитных средств резидентов в банковских учреждениях Украины по секторам экономики. Проведен анализ динамики и структуры депозитов юридических лиц и вкладов физических лиц за период 2009-2013 годов в ба</w:t>
      </w:r>
      <w:r>
        <w:rPr>
          <w:lang w:val="ru-RU" w:eastAsia="ru-RU" w:bidi="ru-RU"/>
        </w:rPr>
        <w:t>нковской системе Украины в разрезе видов валют и сроков погашения. Определены тенденции последних изменений, что позволило оценить эффективность проведения депозитных операций банковских учреждений Украины в современных условиях;</w:t>
      </w:r>
    </w:p>
    <w:p w:rsidR="007B3874" w:rsidRDefault="0018067B">
      <w:pPr>
        <w:pStyle w:val="40"/>
        <w:framePr w:w="9965" w:h="10848" w:hRule="exact" w:wrap="around" w:vAnchor="page" w:hAnchor="page" w:x="985" w:y="2232"/>
        <w:numPr>
          <w:ilvl w:val="0"/>
          <w:numId w:val="1"/>
        </w:numPr>
        <w:shd w:val="clear" w:color="auto" w:fill="auto"/>
        <w:ind w:left="40" w:right="20"/>
      </w:pPr>
      <w:r>
        <w:rPr>
          <w:rStyle w:val="485pt0pt"/>
          <w:lang w:val="ru-RU" w:eastAsia="ru-RU" w:bidi="ru-RU"/>
        </w:rPr>
        <w:t xml:space="preserve"> </w:t>
      </w:r>
      <w:r>
        <w:rPr>
          <w:lang w:val="ru-RU" w:eastAsia="ru-RU" w:bidi="ru-RU"/>
        </w:rPr>
        <w:t>обоснованы мероприятия по</w:t>
      </w:r>
      <w:r>
        <w:rPr>
          <w:lang w:val="ru-RU" w:eastAsia="ru-RU" w:bidi="ru-RU"/>
        </w:rPr>
        <w:t xml:space="preserve"> развитию и совершенствованию депозитных операций для реализации целей банковских учреждений в сфере организации кредитных отношений с заемщиками.</w:t>
      </w:r>
    </w:p>
    <w:p w:rsidR="007B3874" w:rsidRDefault="0018067B">
      <w:pPr>
        <w:pStyle w:val="40"/>
        <w:framePr w:w="9965" w:h="10848" w:hRule="exact" w:wrap="around" w:vAnchor="page" w:hAnchor="page" w:x="985" w:y="2232"/>
        <w:shd w:val="clear" w:color="auto" w:fill="auto"/>
        <w:ind w:left="40" w:right="20"/>
      </w:pPr>
      <w:r>
        <w:rPr>
          <w:lang w:val="ru-RU" w:eastAsia="ru-RU" w:bidi="ru-RU"/>
        </w:rPr>
        <w:t>Практическое значение полученных результатов заключается в научном обосновании путей дальнейшего развития деп</w:t>
      </w:r>
      <w:r>
        <w:rPr>
          <w:lang w:val="ru-RU" w:eastAsia="ru-RU" w:bidi="ru-RU"/>
        </w:rPr>
        <w:t>озитных операций банков по формированию банковских ресурсов, что составляет вклад в современные подходы к обеспечению ресурсами и функционирования банковской системы Украины.</w:t>
      </w:r>
    </w:p>
    <w:p w:rsidR="007B3874" w:rsidRDefault="0018067B">
      <w:pPr>
        <w:pStyle w:val="40"/>
        <w:framePr w:w="9965" w:h="10848" w:hRule="exact" w:wrap="around" w:vAnchor="page" w:hAnchor="page" w:x="985" w:y="2232"/>
        <w:shd w:val="clear" w:color="auto" w:fill="auto"/>
        <w:ind w:left="40" w:right="20"/>
      </w:pPr>
      <w:r>
        <w:rPr>
          <w:lang w:val="ru-RU" w:eastAsia="ru-RU" w:bidi="ru-RU"/>
        </w:rPr>
        <w:t>Основные выводы и полученные результаты могут быть применены при разработке механ</w:t>
      </w:r>
      <w:r>
        <w:rPr>
          <w:lang w:val="ru-RU" w:eastAsia="ru-RU" w:bidi="ru-RU"/>
        </w:rPr>
        <w:t>изма привлечения ресурсов банковскими учреждениями Украины в процессе осуществления депозитных и кредитных операций.</w:t>
      </w:r>
    </w:p>
    <w:p w:rsidR="007B3874" w:rsidRDefault="0018067B">
      <w:pPr>
        <w:pStyle w:val="40"/>
        <w:framePr w:w="9965" w:h="10848" w:hRule="exact" w:wrap="around" w:vAnchor="page" w:hAnchor="page" w:x="985" w:y="2232"/>
        <w:shd w:val="clear" w:color="auto" w:fill="auto"/>
        <w:ind w:left="40" w:right="20"/>
      </w:pPr>
      <w:r>
        <w:rPr>
          <w:lang w:val="ru-RU" w:eastAsia="ru-RU" w:bidi="ru-RU"/>
        </w:rPr>
        <w:t>Результаты исследования имеют прикладное значение и могут быть эффективно использованы банковскими учреждениями с целью создания сбалансиро</w:t>
      </w:r>
      <w:r>
        <w:rPr>
          <w:lang w:val="ru-RU" w:eastAsia="ru-RU" w:bidi="ru-RU"/>
        </w:rPr>
        <w:t>ванной структуры их ресурсов и улучшения организации управления депозитными и кредитными операциями банковского учреждения.</w:t>
      </w:r>
    </w:p>
    <w:p w:rsidR="007B3874" w:rsidRDefault="0018067B">
      <w:pPr>
        <w:pStyle w:val="40"/>
        <w:framePr w:w="9965" w:h="10848" w:hRule="exact" w:wrap="around" w:vAnchor="page" w:hAnchor="page" w:x="985" w:y="2232"/>
        <w:shd w:val="clear" w:color="auto" w:fill="auto"/>
        <w:ind w:left="40" w:right="20"/>
      </w:pPr>
      <w:r>
        <w:rPr>
          <w:rStyle w:val="40pt"/>
          <w:i/>
          <w:iCs/>
        </w:rPr>
        <w:t>Ключевые слова</w:t>
      </w:r>
      <w:r>
        <w:rPr>
          <w:lang w:val="ru-RU" w:eastAsia="ru-RU" w:bidi="ru-RU"/>
        </w:rPr>
        <w:t>: банковские учреждения; банковские ресурсы; депозиты резидентов; депозиты домашних хозяйств; депозиты нефинансовых ко</w:t>
      </w:r>
      <w:r>
        <w:rPr>
          <w:lang w:val="ru-RU" w:eastAsia="ru-RU" w:bidi="ru-RU"/>
        </w:rPr>
        <w:t>рпораций; депозитные проценты; кредиты.</w:t>
      </w:r>
    </w:p>
    <w:p w:rsidR="007B3874" w:rsidRDefault="0018067B">
      <w:pPr>
        <w:pStyle w:val="a7"/>
        <w:framePr w:wrap="around" w:vAnchor="page" w:hAnchor="page" w:x="994" w:y="15615"/>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7B3874" w:rsidRDefault="0018067B">
      <w:pPr>
        <w:pStyle w:val="a7"/>
        <w:framePr w:wrap="around" w:vAnchor="page" w:hAnchor="page" w:x="10614" w:y="15620"/>
        <w:shd w:val="clear" w:color="auto" w:fill="auto"/>
        <w:spacing w:line="170" w:lineRule="exact"/>
        <w:ind w:left="20"/>
      </w:pPr>
      <w:r>
        <w:rPr>
          <w:lang w:val="ru-RU" w:eastAsia="ru-RU" w:bidi="ru-RU"/>
        </w:rPr>
        <w:t>283</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20"/>
        <w:framePr w:w="9989" w:h="13882" w:hRule="exact" w:wrap="around" w:vAnchor="page" w:hAnchor="page" w:x="973" w:y="1219"/>
        <w:shd w:val="clear" w:color="auto" w:fill="auto"/>
        <w:spacing w:after="0" w:line="274" w:lineRule="exact"/>
        <w:ind w:left="20"/>
        <w:jc w:val="center"/>
      </w:pPr>
      <w:r>
        <w:rPr>
          <w:lang w:val="en-US" w:eastAsia="en-US" w:bidi="en-US"/>
        </w:rPr>
        <w:lastRenderedPageBreak/>
        <w:t>Yaroslav Ivanovich CHAIKOVSKYI</w:t>
      </w:r>
    </w:p>
    <w:p w:rsidR="007B3874" w:rsidRDefault="0018067B">
      <w:pPr>
        <w:pStyle w:val="a5"/>
        <w:framePr w:w="9989" w:h="13882" w:hRule="exact" w:wrap="around" w:vAnchor="page" w:hAnchor="page" w:x="973" w:y="1219"/>
        <w:shd w:val="clear" w:color="auto" w:fill="auto"/>
        <w:spacing w:after="0"/>
        <w:ind w:left="60"/>
      </w:pPr>
      <w:r>
        <w:rPr>
          <w:lang w:val="en-US" w:eastAsia="en-US" w:bidi="en-US"/>
        </w:rPr>
        <w:t>PhD, Associate Professor,</w:t>
      </w:r>
    </w:p>
    <w:p w:rsidR="007B3874" w:rsidRDefault="0018067B">
      <w:pPr>
        <w:pStyle w:val="a5"/>
        <w:framePr w:w="9989" w:h="13882" w:hRule="exact" w:wrap="around" w:vAnchor="page" w:hAnchor="page" w:x="973" w:y="1219"/>
        <w:shd w:val="clear" w:color="auto" w:fill="auto"/>
        <w:spacing w:after="0"/>
        <w:ind w:left="60"/>
      </w:pPr>
      <w:r>
        <w:rPr>
          <w:lang w:val="en-US" w:eastAsia="en-US" w:bidi="en-US"/>
        </w:rPr>
        <w:t>Associate Professor, Department of Banking,</w:t>
      </w:r>
    </w:p>
    <w:p w:rsidR="007B3874" w:rsidRDefault="0018067B">
      <w:pPr>
        <w:pStyle w:val="a5"/>
        <w:framePr w:w="9989" w:h="13882" w:hRule="exact" w:wrap="around" w:vAnchor="page" w:hAnchor="page" w:x="973" w:y="1219"/>
        <w:shd w:val="clear" w:color="auto" w:fill="auto"/>
        <w:spacing w:after="0"/>
        <w:ind w:left="20"/>
      </w:pPr>
      <w:r>
        <w:rPr>
          <w:lang w:val="en-US" w:eastAsia="en-US" w:bidi="en-US"/>
        </w:rPr>
        <w:t xml:space="preserve">Ternopil National Economic University str. Lvivska, 11, Ternopil, Ukraine E-mail: </w:t>
      </w:r>
      <w:hyperlink r:id="rId9" w:history="1">
        <w:r>
          <w:rPr>
            <w:rStyle w:val="a3"/>
            <w:lang w:val="en-US" w:eastAsia="en-US" w:bidi="en-US"/>
          </w:rPr>
          <w:t>slawik1966@gmail.com</w:t>
        </w:r>
      </w:hyperlink>
      <w:r>
        <w:rPr>
          <w:lang w:val="en-US" w:eastAsia="en-US" w:bidi="en-US"/>
        </w:rPr>
        <w:t xml:space="preserve"> Phone: +380674938471 </w:t>
      </w:r>
      <w:r>
        <w:rPr>
          <w:rStyle w:val="0pt"/>
          <w:lang w:val="en-US" w:eastAsia="en-US" w:bidi="en-US"/>
        </w:rPr>
        <w:t>Ivanna Iaroslavivna CHAIKOVSKA</w:t>
      </w:r>
      <w:r>
        <w:rPr>
          <w:lang w:val="en-US" w:eastAsia="en-US" w:bidi="en-US"/>
        </w:rPr>
        <w:t>,</w:t>
      </w:r>
    </w:p>
    <w:p w:rsidR="007B3874" w:rsidRDefault="0018067B">
      <w:pPr>
        <w:pStyle w:val="a5"/>
        <w:framePr w:w="9989" w:h="13882" w:hRule="exact" w:wrap="around" w:vAnchor="page" w:hAnchor="page" w:x="973" w:y="1219"/>
        <w:shd w:val="clear" w:color="auto" w:fill="auto"/>
        <w:spacing w:after="291"/>
        <w:ind w:left="20"/>
      </w:pPr>
      <w:r>
        <w:rPr>
          <w:lang w:val="en-US" w:eastAsia="en-US" w:bidi="en-US"/>
        </w:rPr>
        <w:t>5 th year student of the Faculty of Finance Ternopil Natio</w:t>
      </w:r>
      <w:r>
        <w:rPr>
          <w:lang w:val="en-US" w:eastAsia="en-US" w:bidi="en-US"/>
        </w:rPr>
        <w:t xml:space="preserve">nal Economic University str. Lvivska, 11, Ternopil, Ukraine E-mail: </w:t>
      </w:r>
      <w:hyperlink r:id="rId10" w:history="1">
        <w:r>
          <w:rPr>
            <w:rStyle w:val="a3"/>
            <w:lang w:val="en-US" w:eastAsia="en-US" w:bidi="en-US"/>
          </w:rPr>
          <w:t>ch.ivanna1993@gmail.com</w:t>
        </w:r>
      </w:hyperlink>
      <w:r>
        <w:rPr>
          <w:lang w:val="en-US" w:eastAsia="en-US" w:bidi="en-US"/>
        </w:rPr>
        <w:t xml:space="preserve"> Tel: +380987146054</w:t>
      </w:r>
    </w:p>
    <w:p w:rsidR="007B3874" w:rsidRDefault="0018067B">
      <w:pPr>
        <w:pStyle w:val="20"/>
        <w:framePr w:w="9989" w:h="13882" w:hRule="exact" w:wrap="around" w:vAnchor="page" w:hAnchor="page" w:x="973" w:y="1219"/>
        <w:shd w:val="clear" w:color="auto" w:fill="auto"/>
        <w:spacing w:after="13" w:line="210" w:lineRule="exact"/>
        <w:ind w:left="20"/>
        <w:jc w:val="center"/>
      </w:pPr>
      <w:r>
        <w:rPr>
          <w:lang w:val="en-US" w:eastAsia="en-US" w:bidi="en-US"/>
        </w:rPr>
        <w:t>T</w:t>
      </w:r>
      <w:r>
        <w:rPr>
          <w:rStyle w:val="21"/>
          <w:b/>
          <w:bCs/>
          <w:lang w:val="en-US" w:eastAsia="en-US" w:bidi="en-US"/>
        </w:rPr>
        <w:t>H</w:t>
      </w:r>
      <w:r>
        <w:rPr>
          <w:lang w:val="en-US" w:eastAsia="en-US" w:bidi="en-US"/>
        </w:rPr>
        <w:t>E ANALYSIS OF CURRENT STATUS AND T</w:t>
      </w:r>
      <w:r>
        <w:rPr>
          <w:rStyle w:val="21"/>
          <w:b/>
          <w:bCs/>
          <w:lang w:val="en-US" w:eastAsia="en-US" w:bidi="en-US"/>
        </w:rPr>
        <w:t>H</w:t>
      </w:r>
      <w:r>
        <w:rPr>
          <w:lang w:val="en-US" w:eastAsia="en-US" w:bidi="en-US"/>
        </w:rPr>
        <w:t>E ROLE OF DEPOSITS IN T</w:t>
      </w:r>
      <w:r>
        <w:rPr>
          <w:rStyle w:val="21"/>
          <w:b/>
          <w:bCs/>
          <w:lang w:val="en-US" w:eastAsia="en-US" w:bidi="en-US"/>
        </w:rPr>
        <w:t>H</w:t>
      </w:r>
      <w:r>
        <w:rPr>
          <w:lang w:val="en-US" w:eastAsia="en-US" w:bidi="en-US"/>
        </w:rPr>
        <w:t>E CREDIT</w:t>
      </w:r>
    </w:p>
    <w:p w:rsidR="007B3874" w:rsidRDefault="0018067B">
      <w:pPr>
        <w:pStyle w:val="20"/>
        <w:framePr w:w="9989" w:h="13882" w:hRule="exact" w:wrap="around" w:vAnchor="page" w:hAnchor="page" w:x="973" w:y="1219"/>
        <w:shd w:val="clear" w:color="auto" w:fill="auto"/>
        <w:spacing w:after="262" w:line="210" w:lineRule="exact"/>
        <w:ind w:left="20"/>
        <w:jc w:val="center"/>
      </w:pPr>
      <w:r>
        <w:rPr>
          <w:lang w:val="en-US" w:eastAsia="en-US" w:bidi="en-US"/>
        </w:rPr>
        <w:t>ACTIVITY OF BANKS IN UKRAINE</w:t>
      </w:r>
    </w:p>
    <w:p w:rsidR="007B3874" w:rsidRDefault="0018067B">
      <w:pPr>
        <w:pStyle w:val="20"/>
        <w:framePr w:w="9989" w:h="13882" w:hRule="exact" w:wrap="around" w:vAnchor="page" w:hAnchor="page" w:x="973" w:y="1219"/>
        <w:shd w:val="clear" w:color="auto" w:fill="auto"/>
        <w:spacing w:after="0" w:line="274" w:lineRule="exact"/>
        <w:ind w:left="20"/>
        <w:jc w:val="center"/>
      </w:pPr>
      <w:r>
        <w:rPr>
          <w:lang w:val="en-US" w:eastAsia="en-US" w:bidi="en-US"/>
        </w:rPr>
        <w:t>Summary</w:t>
      </w:r>
    </w:p>
    <w:p w:rsidR="007B3874" w:rsidRDefault="0018067B">
      <w:pPr>
        <w:pStyle w:val="40"/>
        <w:framePr w:w="9989" w:h="13882" w:hRule="exact" w:wrap="around" w:vAnchor="page" w:hAnchor="page" w:x="973" w:y="1219"/>
        <w:shd w:val="clear" w:color="auto" w:fill="auto"/>
        <w:ind w:left="20" w:right="60"/>
      </w:pPr>
      <w:r>
        <w:rPr>
          <w:lang w:val="en-US" w:eastAsia="en-US" w:bidi="en-US"/>
        </w:rPr>
        <w:t>Aim of the article is an analysis of the current state and development of adequate measures for the development and improvement of deposit operations of banks to expand their lending activities.</w:t>
      </w:r>
    </w:p>
    <w:p w:rsidR="007B3874" w:rsidRDefault="0018067B">
      <w:pPr>
        <w:pStyle w:val="40"/>
        <w:framePr w:w="9989" w:h="13882" w:hRule="exact" w:wrap="around" w:vAnchor="page" w:hAnchor="page" w:x="973" w:y="1219"/>
        <w:shd w:val="clear" w:color="auto" w:fill="auto"/>
        <w:ind w:left="20" w:right="60"/>
      </w:pPr>
      <w:r>
        <w:rPr>
          <w:lang w:val="en-US" w:eastAsia="en-US" w:bidi="en-US"/>
        </w:rPr>
        <w:t>Methods of study. The methodological base for the stu</w:t>
      </w:r>
      <w:r>
        <w:rPr>
          <w:lang w:val="en-US" w:eastAsia="en-US" w:bidi="en-US"/>
        </w:rPr>
        <w:t>dy is a set of general scientific and specific techniques and methods. In particular, in the article used general scientific methods of cognition, dialectical approach to determine causal relationships between events and processes that occur in the area of</w:t>
      </w:r>
      <w:r>
        <w:rPr>
          <w:lang w:val="en-US" w:eastAsia="en-US" w:bidi="en-US"/>
        </w:rPr>
        <w:t xml:space="preserve"> deposit operations of banking institutions. To analyze the current state of resource banks and research management process to deposit transactions used methods of analysis and synthesis, generalization, induction and deduction, comparative analysis of per</w:t>
      </w:r>
      <w:r>
        <w:rPr>
          <w:lang w:val="en-US" w:eastAsia="en-US" w:bidi="en-US"/>
        </w:rPr>
        <w:t>formance.</w:t>
      </w:r>
    </w:p>
    <w:p w:rsidR="007B3874" w:rsidRDefault="0018067B">
      <w:pPr>
        <w:pStyle w:val="40"/>
        <w:framePr w:w="9989" w:h="13882" w:hRule="exact" w:wrap="around" w:vAnchor="page" w:hAnchor="page" w:x="973" w:y="1219"/>
        <w:shd w:val="clear" w:color="auto" w:fill="auto"/>
        <w:ind w:left="20"/>
      </w:pPr>
      <w:r>
        <w:rPr>
          <w:lang w:val="en-US" w:eastAsia="en-US" w:bidi="en-US"/>
        </w:rPr>
        <w:t>The scientific novelty of the results is the following:</w:t>
      </w:r>
    </w:p>
    <w:p w:rsidR="007B3874" w:rsidRDefault="0018067B">
      <w:pPr>
        <w:pStyle w:val="40"/>
        <w:framePr w:w="9989" w:h="13882" w:hRule="exact" w:wrap="around" w:vAnchor="page" w:hAnchor="page" w:x="973" w:y="1219"/>
        <w:numPr>
          <w:ilvl w:val="0"/>
          <w:numId w:val="1"/>
        </w:numPr>
        <w:shd w:val="clear" w:color="auto" w:fill="auto"/>
        <w:ind w:left="20" w:right="60"/>
      </w:pPr>
      <w:r>
        <w:rPr>
          <w:rStyle w:val="485pt0pt"/>
          <w:lang w:val="en-US" w:eastAsia="en-US" w:bidi="en-US"/>
        </w:rPr>
        <w:t xml:space="preserve"> </w:t>
      </w:r>
      <w:r>
        <w:rPr>
          <w:lang w:val="en-US" w:eastAsia="en-US" w:bidi="en-US"/>
        </w:rPr>
        <w:t xml:space="preserve">study the formation and current status of resident deposits in banking institutions of Ukraine for the sector had received further development. Dynamics and structure of corporate deposits </w:t>
      </w:r>
      <w:r>
        <w:rPr>
          <w:lang w:val="en-US" w:eastAsia="en-US" w:bidi="en-US"/>
        </w:rPr>
        <w:t>and deposits of individuals for the period 2009-2013 years in the banking system of Ukraine in terms of currencies and maturities are analyzed. Trends of recent changes is determined, that allowed us to estimate the effectiveness of deposit operations of b</w:t>
      </w:r>
      <w:r>
        <w:rPr>
          <w:lang w:val="en-US" w:eastAsia="en-US" w:bidi="en-US"/>
        </w:rPr>
        <w:t>anks of Ukraine in modern conditions;</w:t>
      </w:r>
    </w:p>
    <w:p w:rsidR="007B3874" w:rsidRDefault="0018067B">
      <w:pPr>
        <w:pStyle w:val="40"/>
        <w:framePr w:w="9989" w:h="13882" w:hRule="exact" w:wrap="around" w:vAnchor="page" w:hAnchor="page" w:x="973" w:y="1219"/>
        <w:numPr>
          <w:ilvl w:val="0"/>
          <w:numId w:val="1"/>
        </w:numPr>
        <w:shd w:val="clear" w:color="auto" w:fill="auto"/>
        <w:ind w:left="20" w:right="60"/>
      </w:pPr>
      <w:r>
        <w:rPr>
          <w:rStyle w:val="485pt0pt"/>
          <w:lang w:val="en-US" w:eastAsia="en-US" w:bidi="en-US"/>
        </w:rPr>
        <w:t xml:space="preserve"> </w:t>
      </w:r>
      <w:r>
        <w:rPr>
          <w:lang w:val="en-US" w:eastAsia="en-US" w:bidi="en-US"/>
        </w:rPr>
        <w:t>measures for development and improvement of deposit transactions for the purposes of banking institutions in the field of credit relationships with lenders is substantiated.</w:t>
      </w:r>
    </w:p>
    <w:p w:rsidR="007B3874" w:rsidRDefault="0018067B">
      <w:pPr>
        <w:pStyle w:val="40"/>
        <w:framePr w:w="9989" w:h="13882" w:hRule="exact" w:wrap="around" w:vAnchor="page" w:hAnchor="page" w:x="973" w:y="1219"/>
        <w:shd w:val="clear" w:color="auto" w:fill="auto"/>
        <w:ind w:left="20" w:right="60"/>
      </w:pPr>
      <w:r>
        <w:rPr>
          <w:lang w:val="en-US" w:eastAsia="en-US" w:bidi="en-US"/>
        </w:rPr>
        <w:t xml:space="preserve">The practical significance of the results </w:t>
      </w:r>
      <w:r>
        <w:rPr>
          <w:lang w:val="en-US" w:eastAsia="en-US" w:bidi="en-US"/>
        </w:rPr>
        <w:t>lies in the scientific study ways of further development of deposit operations of banks with the formation of bank resources, that constitutes contribution in the modern approaches to providing of resources and functioning of the banking system of Ukraine.</w:t>
      </w:r>
    </w:p>
    <w:p w:rsidR="007B3874" w:rsidRDefault="0018067B">
      <w:pPr>
        <w:pStyle w:val="40"/>
        <w:framePr w:w="9989" w:h="13882" w:hRule="exact" w:wrap="around" w:vAnchor="page" w:hAnchor="page" w:x="973" w:y="1219"/>
        <w:shd w:val="clear" w:color="auto" w:fill="auto"/>
        <w:ind w:left="20" w:right="60"/>
      </w:pPr>
      <w:r>
        <w:rPr>
          <w:lang w:val="en-US" w:eastAsia="en-US" w:bidi="en-US"/>
        </w:rPr>
        <w:t>The main conclusions and the obtained results can be used to develop a mechanism for attracting resources of banking institutions of Ukraine in the process of deposit and credit operations.</w:t>
      </w:r>
    </w:p>
    <w:p w:rsidR="007B3874" w:rsidRDefault="0018067B">
      <w:pPr>
        <w:pStyle w:val="40"/>
        <w:framePr w:w="9989" w:h="13882" w:hRule="exact" w:wrap="around" w:vAnchor="page" w:hAnchor="page" w:x="973" w:y="1219"/>
        <w:shd w:val="clear" w:color="auto" w:fill="auto"/>
        <w:ind w:left="20" w:right="60"/>
      </w:pPr>
      <w:r>
        <w:rPr>
          <w:lang w:val="en-US" w:eastAsia="en-US" w:bidi="en-US"/>
        </w:rPr>
        <w:t xml:space="preserve">Results of the study have practical value and can be effectively </w:t>
      </w:r>
      <w:r>
        <w:rPr>
          <w:lang w:val="en-US" w:eastAsia="en-US" w:bidi="en-US"/>
        </w:rPr>
        <w:t>used by banking institutions in order to create a balanced structure of their resources and improve management of deposit and credit operations of the banking institutions.</w:t>
      </w:r>
    </w:p>
    <w:p w:rsidR="007B3874" w:rsidRDefault="0018067B">
      <w:pPr>
        <w:pStyle w:val="40"/>
        <w:framePr w:w="9989" w:h="13882" w:hRule="exact" w:wrap="around" w:vAnchor="page" w:hAnchor="page" w:x="973" w:y="1219"/>
        <w:shd w:val="clear" w:color="auto" w:fill="auto"/>
        <w:spacing w:after="240"/>
        <w:ind w:left="20" w:right="60"/>
      </w:pPr>
      <w:r>
        <w:rPr>
          <w:lang w:val="en-US" w:eastAsia="en-US" w:bidi="en-US"/>
        </w:rPr>
        <w:t>Keywords: banking institutions; banking resources; resident deposits; deposits of h</w:t>
      </w:r>
      <w:r>
        <w:rPr>
          <w:lang w:val="en-US" w:eastAsia="en-US" w:bidi="en-US"/>
        </w:rPr>
        <w:t>ouseholds; deposits of non-financial corporations; deposit interest; loans.</w:t>
      </w:r>
    </w:p>
    <w:p w:rsidR="007B3874" w:rsidRDefault="0018067B">
      <w:pPr>
        <w:pStyle w:val="a5"/>
        <w:framePr w:w="9989" w:h="13882" w:hRule="exact" w:wrap="around" w:vAnchor="page" w:hAnchor="page" w:x="973" w:y="1219"/>
        <w:shd w:val="clear" w:color="auto" w:fill="auto"/>
        <w:spacing w:after="0"/>
        <w:ind w:left="20" w:right="60" w:firstLine="560"/>
        <w:jc w:val="both"/>
      </w:pPr>
      <w:r>
        <w:rPr>
          <w:rStyle w:val="0pt"/>
        </w:rPr>
        <w:t xml:space="preserve">Постановка проблеми. </w:t>
      </w:r>
      <w:r>
        <w:t>Ефективність функціонування банків та обсяги їхніх активних, зокрема кредитних операцій залежать від розміру сформованих ресурсів. Більша частина банківських р</w:t>
      </w:r>
      <w:r>
        <w:t>есурсів формується за рахунок залучення тимчасово вільних коштів юридичних і фізичних осіб на депозити і вклади, тобто депозитних операцій банків. Оскільки у складі банківських ресурсів переважають депозити юридичних осіб і вклади фізичних осіб, то</w:t>
      </w:r>
    </w:p>
    <w:p w:rsidR="007B3874" w:rsidRDefault="0018067B">
      <w:pPr>
        <w:pStyle w:val="a7"/>
        <w:framePr w:wrap="around" w:vAnchor="page" w:hAnchor="page" w:x="954" w:y="15663"/>
        <w:shd w:val="clear" w:color="auto" w:fill="auto"/>
        <w:spacing w:line="170" w:lineRule="exact"/>
        <w:ind w:left="20"/>
      </w:pPr>
      <w:r>
        <w:t>284</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a5"/>
        <w:framePr w:w="9936" w:h="6408" w:hRule="exact" w:wrap="around" w:vAnchor="page" w:hAnchor="page" w:x="999" w:y="1123"/>
        <w:shd w:val="clear" w:color="auto" w:fill="auto"/>
        <w:spacing w:after="0"/>
        <w:ind w:left="20" w:right="60"/>
        <w:jc w:val="both"/>
      </w:pPr>
      <w:r>
        <w:lastRenderedPageBreak/>
        <w:t xml:space="preserve">доцільно проаналізувати діяльність банків з формування і використання залучених коштів. Саме депозити юридичних осіб і вклади фізичних осіб, виконують визначну роль у формуванні банківських ресурсів і є рівнем довіри клієнтів до </w:t>
      </w:r>
      <w:r>
        <w:t>банківської системи.</w:t>
      </w:r>
    </w:p>
    <w:p w:rsidR="007B3874" w:rsidRDefault="0018067B">
      <w:pPr>
        <w:pStyle w:val="a5"/>
        <w:framePr w:w="9936" w:h="6408" w:hRule="exact" w:wrap="around" w:vAnchor="page" w:hAnchor="page" w:x="999" w:y="1123"/>
        <w:shd w:val="clear" w:color="auto" w:fill="auto"/>
        <w:spacing w:after="0"/>
        <w:ind w:left="20" w:right="20" w:firstLine="560"/>
        <w:jc w:val="both"/>
      </w:pPr>
      <w:r>
        <w:rPr>
          <w:rStyle w:val="0pt"/>
        </w:rPr>
        <w:t>Аналіз останніх досліджень і публікацій</w:t>
      </w:r>
      <w:r>
        <w:t>. Дослідженню практики формування банківських ресурсів присвячено праці вітчизняних вчених-економістів Т. І. Андрушківа [1], Ю. М. Галіцейської [7], О. В. Дзюблюка [8], Н. П. Дребот [9], Л. Р. Мар</w:t>
      </w:r>
      <w:r>
        <w:t>инчак [11] та ін. Однак проблеми організації депозитних операцій банків для формування банківських ресурсів та їх використання, зокрема в кредитній діяльності, потребують подальших досліджень, особливо з урахуванням новітніх реалій української економіки.</w:t>
      </w:r>
    </w:p>
    <w:p w:rsidR="007B3874" w:rsidRDefault="0018067B">
      <w:pPr>
        <w:pStyle w:val="a5"/>
        <w:framePr w:w="9936" w:h="6408" w:hRule="exact" w:wrap="around" w:vAnchor="page" w:hAnchor="page" w:x="999" w:y="1123"/>
        <w:shd w:val="clear" w:color="auto" w:fill="auto"/>
        <w:spacing w:after="0"/>
        <w:ind w:left="20" w:right="20" w:firstLine="560"/>
        <w:jc w:val="both"/>
      </w:pPr>
      <w:r>
        <w:rPr>
          <w:rStyle w:val="0pt"/>
        </w:rPr>
        <w:t>П</w:t>
      </w:r>
      <w:r>
        <w:rPr>
          <w:rStyle w:val="0pt"/>
        </w:rPr>
        <w:t xml:space="preserve">осьановка завдання. </w:t>
      </w:r>
      <w:r>
        <w:t>Метою статті є аналіз сучасного стану та розробка адекватних заходів з розвитку і вдосконалення депозитних операцій банків для розширення їх кредитної діяльності.</w:t>
      </w:r>
    </w:p>
    <w:p w:rsidR="007B3874" w:rsidRDefault="0018067B">
      <w:pPr>
        <w:pStyle w:val="a5"/>
        <w:framePr w:w="9936" w:h="6408" w:hRule="exact" w:wrap="around" w:vAnchor="page" w:hAnchor="page" w:x="999" w:y="1123"/>
        <w:shd w:val="clear" w:color="auto" w:fill="auto"/>
        <w:spacing w:after="0"/>
        <w:ind w:left="20" w:firstLine="560"/>
        <w:jc w:val="both"/>
      </w:pPr>
      <w:r>
        <w:t>Для досягнення цієї мети визначено вирішення наступних завдань:</w:t>
      </w:r>
    </w:p>
    <w:p w:rsidR="007B3874" w:rsidRDefault="0018067B">
      <w:pPr>
        <w:pStyle w:val="a5"/>
        <w:framePr w:w="9936" w:h="6408" w:hRule="exact" w:wrap="around" w:vAnchor="page" w:hAnchor="page" w:x="999" w:y="1123"/>
        <w:numPr>
          <w:ilvl w:val="0"/>
          <w:numId w:val="1"/>
        </w:numPr>
        <w:shd w:val="clear" w:color="auto" w:fill="auto"/>
        <w:spacing w:after="0"/>
        <w:ind w:left="20" w:right="20" w:firstLine="560"/>
        <w:jc w:val="both"/>
      </w:pPr>
      <w:r>
        <w:t xml:space="preserve"> провести</w:t>
      </w:r>
      <w:r>
        <w:t xml:space="preserve"> аналіз сучасного стану депозитних операцій банківських установ України з формування залучених коштів;</w:t>
      </w:r>
    </w:p>
    <w:p w:rsidR="007B3874" w:rsidRDefault="0018067B">
      <w:pPr>
        <w:pStyle w:val="a5"/>
        <w:framePr w:w="9936" w:h="6408" w:hRule="exact" w:wrap="around" w:vAnchor="page" w:hAnchor="page" w:x="999" w:y="1123"/>
        <w:numPr>
          <w:ilvl w:val="0"/>
          <w:numId w:val="1"/>
        </w:numPr>
        <w:shd w:val="clear" w:color="auto" w:fill="auto"/>
        <w:spacing w:after="0"/>
        <w:ind w:left="20" w:right="20" w:firstLine="560"/>
        <w:jc w:val="both"/>
      </w:pPr>
      <w:r>
        <w:t xml:space="preserve"> запропонувати шляхи вдосконалення управління депозитними операціями банківських установ на сучасному етапі.</w:t>
      </w:r>
    </w:p>
    <w:p w:rsidR="007B3874" w:rsidRDefault="0018067B">
      <w:pPr>
        <w:pStyle w:val="a5"/>
        <w:framePr w:w="9936" w:h="6408" w:hRule="exact" w:wrap="around" w:vAnchor="page" w:hAnchor="page" w:x="999" w:y="1123"/>
        <w:shd w:val="clear" w:color="auto" w:fill="auto"/>
        <w:spacing w:after="0"/>
        <w:ind w:left="20" w:right="20" w:firstLine="560"/>
        <w:jc w:val="both"/>
      </w:pPr>
      <w:r>
        <w:t>Об’єктом дослідження є система економічних в</w:t>
      </w:r>
      <w:r>
        <w:t>ідносин, що виникають між банками та іншими суб’єктами грошового ринку з приводу формування ресурсів банківських установ.</w:t>
      </w:r>
    </w:p>
    <w:p w:rsidR="007B3874" w:rsidRDefault="0018067B">
      <w:pPr>
        <w:pStyle w:val="a5"/>
        <w:framePr w:w="9936" w:h="6408" w:hRule="exact" w:wrap="around" w:vAnchor="page" w:hAnchor="page" w:x="999" w:y="1123"/>
        <w:shd w:val="clear" w:color="auto" w:fill="auto"/>
        <w:spacing w:after="0"/>
        <w:ind w:left="20" w:right="20" w:firstLine="560"/>
        <w:jc w:val="both"/>
      </w:pPr>
      <w:r>
        <w:t>Предметом дослідження є депозитні операції банківських установ з формування та управління їх кредитними ресурсами.</w:t>
      </w:r>
    </w:p>
    <w:p w:rsidR="007B3874" w:rsidRDefault="0018067B">
      <w:pPr>
        <w:pStyle w:val="a5"/>
        <w:framePr w:w="9936" w:h="6408" w:hRule="exact" w:wrap="around" w:vAnchor="page" w:hAnchor="page" w:x="999" w:y="1123"/>
        <w:shd w:val="clear" w:color="auto" w:fill="auto"/>
        <w:spacing w:after="0"/>
        <w:ind w:left="20" w:right="20" w:firstLine="560"/>
        <w:jc w:val="both"/>
      </w:pPr>
      <w:r>
        <w:t>Виклад основного ма</w:t>
      </w:r>
      <w:r>
        <w:t>теріалу дослідження. Протягом 2009-2013 років спостерігався висхідний тренд депозитів резидентів (табл. 1).</w:t>
      </w:r>
    </w:p>
    <w:p w:rsidR="007B3874" w:rsidRDefault="0018067B">
      <w:pPr>
        <w:pStyle w:val="a9"/>
        <w:framePr w:w="1094" w:h="239" w:hRule="exact" w:wrap="around" w:vAnchor="page" w:hAnchor="page" w:x="9812" w:y="7865"/>
        <w:shd w:val="clear" w:color="auto" w:fill="auto"/>
        <w:spacing w:line="210" w:lineRule="exact"/>
      </w:pPr>
      <w:r>
        <w:t>Таблиця 1</w:t>
      </w:r>
    </w:p>
    <w:p w:rsidR="007B3874" w:rsidRDefault="0018067B">
      <w:pPr>
        <w:pStyle w:val="a9"/>
        <w:framePr w:wrap="around" w:vAnchor="page" w:hAnchor="page" w:x="1330" w:y="8110"/>
        <w:shd w:val="clear" w:color="auto" w:fill="auto"/>
        <w:spacing w:line="210" w:lineRule="exact"/>
      </w:pPr>
      <w:r>
        <w:rPr>
          <w:rStyle w:val="aa"/>
          <w:b/>
          <w:bCs/>
        </w:rPr>
        <w:t>Депозити резидентів, залучені депозитними корпораціями, за секторами економіки *</w:t>
      </w:r>
    </w:p>
    <w:tbl>
      <w:tblPr>
        <w:tblOverlap w:val="never"/>
        <w:tblW w:w="0" w:type="auto"/>
        <w:tblLayout w:type="fixed"/>
        <w:tblCellMar>
          <w:left w:w="10" w:type="dxa"/>
          <w:right w:w="10" w:type="dxa"/>
        </w:tblCellMar>
        <w:tblLook w:val="04A0"/>
      </w:tblPr>
      <w:tblGrid>
        <w:gridCol w:w="1200"/>
        <w:gridCol w:w="1195"/>
        <w:gridCol w:w="1195"/>
        <w:gridCol w:w="1195"/>
        <w:gridCol w:w="1200"/>
        <w:gridCol w:w="1195"/>
        <w:gridCol w:w="1195"/>
        <w:gridCol w:w="1210"/>
      </w:tblGrid>
      <w:tr w:rsidR="007B3874">
        <w:tblPrEx>
          <w:tblCellMar>
            <w:top w:w="0" w:type="dxa"/>
            <w:bottom w:w="0" w:type="dxa"/>
          </w:tblCellMar>
        </w:tblPrEx>
        <w:trPr>
          <w:trHeight w:hRule="exact" w:val="571"/>
        </w:trPr>
        <w:tc>
          <w:tcPr>
            <w:tcW w:w="1200" w:type="dxa"/>
            <w:vMerge w:val="restart"/>
            <w:tcBorders>
              <w:top w:val="single" w:sz="4" w:space="0" w:color="auto"/>
              <w:left w:val="single" w:sz="4" w:space="0" w:color="auto"/>
            </w:tcBorders>
            <w:shd w:val="clear" w:color="auto" w:fill="FFFFFF"/>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Період</w:t>
            </w:r>
          </w:p>
        </w:tc>
        <w:tc>
          <w:tcPr>
            <w:tcW w:w="1195" w:type="dxa"/>
            <w:vMerge w:val="restart"/>
            <w:tcBorders>
              <w:top w:val="single" w:sz="4" w:space="0" w:color="auto"/>
              <w:left w:val="single" w:sz="4" w:space="0" w:color="auto"/>
            </w:tcBorders>
            <w:shd w:val="clear" w:color="auto" w:fill="FFFFFF"/>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Усього</w:t>
            </w:r>
          </w:p>
        </w:tc>
        <w:tc>
          <w:tcPr>
            <w:tcW w:w="2390" w:type="dxa"/>
            <w:gridSpan w:val="2"/>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60" w:line="210" w:lineRule="exact"/>
            </w:pPr>
            <w:r>
              <w:rPr>
                <w:rStyle w:val="ab"/>
              </w:rPr>
              <w:t>Нефінансові</w:t>
            </w:r>
          </w:p>
          <w:p w:rsidR="007B3874" w:rsidRDefault="0018067B">
            <w:pPr>
              <w:pStyle w:val="a5"/>
              <w:framePr w:w="9586" w:h="2573" w:wrap="around" w:vAnchor="page" w:hAnchor="page" w:x="1172" w:y="8355"/>
              <w:shd w:val="clear" w:color="auto" w:fill="auto"/>
              <w:spacing w:before="60" w:after="0" w:line="210" w:lineRule="exact"/>
            </w:pPr>
            <w:r>
              <w:rPr>
                <w:rStyle w:val="ab"/>
              </w:rPr>
              <w:t>корпорації</w:t>
            </w:r>
          </w:p>
        </w:tc>
        <w:tc>
          <w:tcPr>
            <w:tcW w:w="2395" w:type="dxa"/>
            <w:gridSpan w:val="2"/>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120" w:line="210" w:lineRule="exact"/>
            </w:pPr>
            <w:r>
              <w:rPr>
                <w:rStyle w:val="ab"/>
              </w:rPr>
              <w:t>Домашні</w:t>
            </w:r>
          </w:p>
          <w:p w:rsidR="007B3874" w:rsidRDefault="0018067B">
            <w:pPr>
              <w:pStyle w:val="a5"/>
              <w:framePr w:w="9586" w:h="2573" w:wrap="around" w:vAnchor="page" w:hAnchor="page" w:x="1172" w:y="8355"/>
              <w:shd w:val="clear" w:color="auto" w:fill="auto"/>
              <w:spacing w:before="120" w:after="0" w:line="210" w:lineRule="exact"/>
            </w:pPr>
            <w:r>
              <w:rPr>
                <w:rStyle w:val="ab"/>
              </w:rPr>
              <w:t>господарства</w:t>
            </w:r>
          </w:p>
        </w:tc>
        <w:tc>
          <w:tcPr>
            <w:tcW w:w="2405" w:type="dxa"/>
            <w:gridSpan w:val="2"/>
            <w:tcBorders>
              <w:top w:val="single" w:sz="4" w:space="0" w:color="auto"/>
              <w:left w:val="single" w:sz="4" w:space="0" w:color="auto"/>
              <w:right w:val="single" w:sz="4" w:space="0" w:color="auto"/>
            </w:tcBorders>
            <w:shd w:val="clear" w:color="auto" w:fill="FFFFFF"/>
          </w:tcPr>
          <w:p w:rsidR="007B3874" w:rsidRDefault="0018067B">
            <w:pPr>
              <w:pStyle w:val="a5"/>
              <w:framePr w:w="9586" w:h="2573" w:wrap="around" w:vAnchor="page" w:hAnchor="page" w:x="1172" w:y="8355"/>
              <w:shd w:val="clear" w:color="auto" w:fill="auto"/>
              <w:spacing w:after="0" w:line="210" w:lineRule="exact"/>
            </w:pPr>
            <w:r>
              <w:rPr>
                <w:rStyle w:val="ab"/>
              </w:rPr>
              <w:t>Інші резиденти</w:t>
            </w:r>
          </w:p>
        </w:tc>
      </w:tr>
      <w:tr w:rsidR="007B3874">
        <w:tblPrEx>
          <w:tblCellMar>
            <w:top w:w="0" w:type="dxa"/>
            <w:bottom w:w="0" w:type="dxa"/>
          </w:tblCellMar>
        </w:tblPrEx>
        <w:trPr>
          <w:trHeight w:hRule="exact" w:val="562"/>
        </w:trPr>
        <w:tc>
          <w:tcPr>
            <w:tcW w:w="1200" w:type="dxa"/>
            <w:vMerge/>
            <w:tcBorders>
              <w:left w:val="single" w:sz="4" w:space="0" w:color="auto"/>
            </w:tcBorders>
            <w:shd w:val="clear" w:color="auto" w:fill="FFFFFF"/>
          </w:tcPr>
          <w:p w:rsidR="007B3874" w:rsidRDefault="007B3874">
            <w:pPr>
              <w:framePr w:w="9586" w:h="2573" w:wrap="around" w:vAnchor="page" w:hAnchor="page" w:x="1172" w:y="8355"/>
            </w:pPr>
          </w:p>
        </w:tc>
        <w:tc>
          <w:tcPr>
            <w:tcW w:w="1195" w:type="dxa"/>
            <w:vMerge/>
            <w:tcBorders>
              <w:left w:val="single" w:sz="4" w:space="0" w:color="auto"/>
            </w:tcBorders>
            <w:shd w:val="clear" w:color="auto" w:fill="FFFFFF"/>
          </w:tcPr>
          <w:p w:rsidR="007B3874" w:rsidRDefault="007B3874">
            <w:pPr>
              <w:framePr w:w="9586" w:h="2573" w:wrap="around" w:vAnchor="page" w:hAnchor="page" w:x="1172" w:y="8355"/>
            </w:pP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120" w:line="210" w:lineRule="exact"/>
            </w:pPr>
            <w:r>
              <w:rPr>
                <w:rStyle w:val="ab"/>
              </w:rPr>
              <w:t>Млн.</w:t>
            </w:r>
          </w:p>
          <w:p w:rsidR="007B3874" w:rsidRDefault="0018067B">
            <w:pPr>
              <w:pStyle w:val="a5"/>
              <w:framePr w:w="9586" w:h="2573" w:wrap="around" w:vAnchor="page" w:hAnchor="page" w:x="1172" w:y="8355"/>
              <w:shd w:val="clear" w:color="auto" w:fill="auto"/>
              <w:spacing w:before="120" w:after="0" w:line="210" w:lineRule="exact"/>
            </w:pPr>
            <w:r>
              <w:rPr>
                <w:rStyle w:val="ab"/>
              </w:rPr>
              <w:t>грн.</w:t>
            </w:r>
          </w:p>
        </w:tc>
        <w:tc>
          <w:tcPr>
            <w:tcW w:w="1195" w:type="dxa"/>
            <w:tcBorders>
              <w:top w:val="single" w:sz="4" w:space="0" w:color="auto"/>
              <w:left w:val="single" w:sz="4" w:space="0" w:color="auto"/>
            </w:tcBorders>
            <w:shd w:val="clear" w:color="auto" w:fill="FFFFFF"/>
          </w:tcPr>
          <w:p w:rsidR="007B3874" w:rsidRDefault="0018067B">
            <w:pPr>
              <w:pStyle w:val="a5"/>
              <w:framePr w:w="9586" w:h="2573" w:wrap="around" w:vAnchor="page" w:hAnchor="page" w:x="1172" w:y="8355"/>
              <w:shd w:val="clear" w:color="auto" w:fill="auto"/>
              <w:spacing w:after="0" w:line="210" w:lineRule="exact"/>
            </w:pPr>
            <w:r>
              <w:rPr>
                <w:rStyle w:val="ab"/>
              </w:rPr>
              <w:t>%</w:t>
            </w:r>
          </w:p>
        </w:tc>
        <w:tc>
          <w:tcPr>
            <w:tcW w:w="1200"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120" w:line="210" w:lineRule="exact"/>
            </w:pPr>
            <w:r>
              <w:rPr>
                <w:rStyle w:val="ab"/>
              </w:rPr>
              <w:t>Млн.</w:t>
            </w:r>
          </w:p>
          <w:p w:rsidR="007B3874" w:rsidRDefault="0018067B">
            <w:pPr>
              <w:pStyle w:val="a5"/>
              <w:framePr w:w="9586" w:h="2573" w:wrap="around" w:vAnchor="page" w:hAnchor="page" w:x="1172" w:y="8355"/>
              <w:shd w:val="clear" w:color="auto" w:fill="auto"/>
              <w:spacing w:before="120" w:after="0" w:line="210" w:lineRule="exact"/>
            </w:pPr>
            <w:r>
              <w:rPr>
                <w:rStyle w:val="ab"/>
              </w:rPr>
              <w:t>грн.</w:t>
            </w:r>
          </w:p>
        </w:tc>
        <w:tc>
          <w:tcPr>
            <w:tcW w:w="1195" w:type="dxa"/>
            <w:tcBorders>
              <w:top w:val="single" w:sz="4" w:space="0" w:color="auto"/>
              <w:left w:val="single" w:sz="4" w:space="0" w:color="auto"/>
            </w:tcBorders>
            <w:shd w:val="clear" w:color="auto" w:fill="FFFFFF"/>
          </w:tcPr>
          <w:p w:rsidR="007B3874" w:rsidRDefault="0018067B">
            <w:pPr>
              <w:pStyle w:val="a5"/>
              <w:framePr w:w="9586" w:h="2573" w:wrap="around" w:vAnchor="page" w:hAnchor="page" w:x="1172" w:y="8355"/>
              <w:shd w:val="clear" w:color="auto" w:fill="auto"/>
              <w:spacing w:after="0" w:line="210" w:lineRule="exact"/>
            </w:pPr>
            <w:r>
              <w:rPr>
                <w:rStyle w:val="ab"/>
              </w:rPr>
              <w:t>%</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120" w:line="210" w:lineRule="exact"/>
            </w:pPr>
            <w:r>
              <w:rPr>
                <w:rStyle w:val="ab"/>
              </w:rPr>
              <w:t>Млн.</w:t>
            </w:r>
          </w:p>
          <w:p w:rsidR="007B3874" w:rsidRDefault="0018067B">
            <w:pPr>
              <w:pStyle w:val="a5"/>
              <w:framePr w:w="9586" w:h="2573" w:wrap="around" w:vAnchor="page" w:hAnchor="page" w:x="1172" w:y="8355"/>
              <w:shd w:val="clear" w:color="auto" w:fill="auto"/>
              <w:spacing w:before="120" w:after="0" w:line="210" w:lineRule="exact"/>
            </w:pPr>
            <w:r>
              <w:rPr>
                <w:rStyle w:val="ab"/>
              </w:rPr>
              <w:t>грн.</w:t>
            </w:r>
          </w:p>
        </w:tc>
        <w:tc>
          <w:tcPr>
            <w:tcW w:w="1210" w:type="dxa"/>
            <w:tcBorders>
              <w:top w:val="single" w:sz="4" w:space="0" w:color="auto"/>
              <w:left w:val="single" w:sz="4" w:space="0" w:color="auto"/>
              <w:right w:val="single" w:sz="4" w:space="0" w:color="auto"/>
            </w:tcBorders>
            <w:shd w:val="clear" w:color="auto" w:fill="FFFFFF"/>
          </w:tcPr>
          <w:p w:rsidR="007B3874" w:rsidRDefault="0018067B">
            <w:pPr>
              <w:pStyle w:val="a5"/>
              <w:framePr w:w="9586" w:h="2573" w:wrap="around" w:vAnchor="page" w:hAnchor="page" w:x="1172" w:y="8355"/>
              <w:shd w:val="clear" w:color="auto" w:fill="auto"/>
              <w:spacing w:after="0" w:line="210" w:lineRule="exact"/>
            </w:pPr>
            <w:r>
              <w:rPr>
                <w:rStyle w:val="ab"/>
              </w:rPr>
              <w:t>%</w:t>
            </w:r>
          </w:p>
        </w:tc>
      </w:tr>
      <w:tr w:rsidR="007B3874">
        <w:tblPrEx>
          <w:tblCellMar>
            <w:top w:w="0" w:type="dxa"/>
            <w:bottom w:w="0" w:type="dxa"/>
          </w:tblCellMar>
        </w:tblPrEx>
        <w:trPr>
          <w:trHeight w:hRule="exact" w:val="283"/>
        </w:trPr>
        <w:tc>
          <w:tcPr>
            <w:tcW w:w="1200"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2009</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334953</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94796</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28,3</w:t>
            </w:r>
          </w:p>
        </w:tc>
        <w:tc>
          <w:tcPr>
            <w:tcW w:w="1200"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214098</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63,9</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320"/>
              <w:jc w:val="left"/>
            </w:pPr>
            <w:r>
              <w:rPr>
                <w:rStyle w:val="ab"/>
              </w:rPr>
              <w:t>26059</w:t>
            </w:r>
          </w:p>
        </w:tc>
        <w:tc>
          <w:tcPr>
            <w:tcW w:w="121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7,8</w:t>
            </w:r>
          </w:p>
        </w:tc>
      </w:tr>
      <w:tr w:rsidR="007B3874">
        <w:tblPrEx>
          <w:tblCellMar>
            <w:top w:w="0" w:type="dxa"/>
            <w:bottom w:w="0" w:type="dxa"/>
          </w:tblCellMar>
        </w:tblPrEx>
        <w:trPr>
          <w:trHeight w:hRule="exact" w:val="288"/>
        </w:trPr>
        <w:tc>
          <w:tcPr>
            <w:tcW w:w="1200"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2010</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416650</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116105</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27,9</w:t>
            </w:r>
          </w:p>
        </w:tc>
        <w:tc>
          <w:tcPr>
            <w:tcW w:w="1200"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275093</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66,0</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320"/>
              <w:jc w:val="left"/>
            </w:pPr>
            <w:r>
              <w:rPr>
                <w:rStyle w:val="ab"/>
              </w:rPr>
              <w:t>25452</w:t>
            </w:r>
          </w:p>
        </w:tc>
        <w:tc>
          <w:tcPr>
            <w:tcW w:w="121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6,1</w:t>
            </w:r>
          </w:p>
        </w:tc>
      </w:tr>
      <w:tr w:rsidR="007B3874">
        <w:tblPrEx>
          <w:tblCellMar>
            <w:top w:w="0" w:type="dxa"/>
            <w:bottom w:w="0" w:type="dxa"/>
          </w:tblCellMar>
        </w:tblPrEx>
        <w:trPr>
          <w:trHeight w:hRule="exact" w:val="288"/>
        </w:trPr>
        <w:tc>
          <w:tcPr>
            <w:tcW w:w="1200"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2011</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491650</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153120</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31,1</w:t>
            </w:r>
          </w:p>
        </w:tc>
        <w:tc>
          <w:tcPr>
            <w:tcW w:w="1200"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310390</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63,1</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320"/>
              <w:jc w:val="left"/>
            </w:pPr>
            <w:r>
              <w:rPr>
                <w:rStyle w:val="ab"/>
              </w:rPr>
              <w:t>28140</w:t>
            </w:r>
          </w:p>
        </w:tc>
        <w:tc>
          <w:tcPr>
            <w:tcW w:w="121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5,7</w:t>
            </w:r>
          </w:p>
        </w:tc>
      </w:tr>
      <w:tr w:rsidR="007B3874">
        <w:tblPrEx>
          <w:tblCellMar>
            <w:top w:w="0" w:type="dxa"/>
            <w:bottom w:w="0" w:type="dxa"/>
          </w:tblCellMar>
        </w:tblPrEx>
        <w:trPr>
          <w:trHeight w:hRule="exact" w:val="283"/>
        </w:trPr>
        <w:tc>
          <w:tcPr>
            <w:tcW w:w="1200"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2012</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572342</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173319</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30,3</w:t>
            </w:r>
          </w:p>
        </w:tc>
        <w:tc>
          <w:tcPr>
            <w:tcW w:w="1200"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369264</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64,5</w:t>
            </w:r>
          </w:p>
        </w:tc>
        <w:tc>
          <w:tcPr>
            <w:tcW w:w="1195" w:type="dxa"/>
            <w:tcBorders>
              <w:top w:val="single" w:sz="4" w:space="0" w:color="auto"/>
              <w:lef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320"/>
              <w:jc w:val="left"/>
            </w:pPr>
            <w:r>
              <w:rPr>
                <w:rStyle w:val="ab"/>
              </w:rPr>
              <w:t>29759</w:t>
            </w:r>
          </w:p>
        </w:tc>
        <w:tc>
          <w:tcPr>
            <w:tcW w:w="121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5,2</w:t>
            </w:r>
          </w:p>
        </w:tc>
      </w:tr>
      <w:tr w:rsidR="007B3874">
        <w:tblPrEx>
          <w:tblCellMar>
            <w:top w:w="0" w:type="dxa"/>
            <w:bottom w:w="0" w:type="dxa"/>
          </w:tblCellMar>
        </w:tblPrEx>
        <w:trPr>
          <w:trHeight w:hRule="exact" w:val="298"/>
        </w:trPr>
        <w:tc>
          <w:tcPr>
            <w:tcW w:w="1200"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2013</w:t>
            </w:r>
          </w:p>
        </w:tc>
        <w:tc>
          <w:tcPr>
            <w:tcW w:w="1195"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120"/>
              <w:jc w:val="left"/>
            </w:pPr>
            <w:r>
              <w:rPr>
                <w:rStyle w:val="ab"/>
              </w:rPr>
              <w:t>669974</w:t>
            </w:r>
          </w:p>
        </w:tc>
        <w:tc>
          <w:tcPr>
            <w:tcW w:w="1195"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195160</w:t>
            </w:r>
          </w:p>
        </w:tc>
        <w:tc>
          <w:tcPr>
            <w:tcW w:w="1195"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29,1</w:t>
            </w:r>
          </w:p>
        </w:tc>
        <w:tc>
          <w:tcPr>
            <w:tcW w:w="1200"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441951</w:t>
            </w:r>
          </w:p>
        </w:tc>
        <w:tc>
          <w:tcPr>
            <w:tcW w:w="1195"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66,0</w:t>
            </w:r>
          </w:p>
        </w:tc>
        <w:tc>
          <w:tcPr>
            <w:tcW w:w="1195"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ind w:left="320"/>
              <w:jc w:val="left"/>
            </w:pPr>
            <w:r>
              <w:rPr>
                <w:rStyle w:val="ab"/>
              </w:rPr>
              <w:t>32863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7B3874" w:rsidRDefault="0018067B">
            <w:pPr>
              <w:pStyle w:val="a5"/>
              <w:framePr w:w="9586" w:h="2573" w:wrap="around" w:vAnchor="page" w:hAnchor="page" w:x="1172" w:y="8355"/>
              <w:shd w:val="clear" w:color="auto" w:fill="auto"/>
              <w:spacing w:after="0" w:line="210" w:lineRule="exact"/>
            </w:pPr>
            <w:r>
              <w:rPr>
                <w:rStyle w:val="ab"/>
              </w:rPr>
              <w:t>4,9</w:t>
            </w:r>
          </w:p>
        </w:tc>
      </w:tr>
    </w:tbl>
    <w:p w:rsidR="007B3874" w:rsidRDefault="0018067B">
      <w:pPr>
        <w:pStyle w:val="23"/>
        <w:framePr w:wrap="around" w:vAnchor="page" w:hAnchor="page" w:x="1590" w:y="10947"/>
        <w:shd w:val="clear" w:color="auto" w:fill="auto"/>
        <w:spacing w:line="210" w:lineRule="exact"/>
      </w:pPr>
      <w:r>
        <w:t>* Джерело: Бюлетень Національного банку України. - 2014. - № 2. С. 119</w:t>
      </w:r>
    </w:p>
    <w:p w:rsidR="007B3874" w:rsidRDefault="0018067B">
      <w:pPr>
        <w:pStyle w:val="a5"/>
        <w:framePr w:w="9936" w:h="3639" w:hRule="exact" w:wrap="around" w:vAnchor="page" w:hAnchor="page" w:x="999" w:y="11448"/>
        <w:shd w:val="clear" w:color="auto" w:fill="auto"/>
        <w:spacing w:after="0"/>
        <w:ind w:left="20" w:right="20" w:firstLine="560"/>
        <w:jc w:val="both"/>
      </w:pPr>
      <w:r>
        <w:t xml:space="preserve">За 2009-2013 роки депозити резидентів зросли на 335021 млн. грн., або в 2 раза, з 334953 млн. грн. до 669974 млн. грн. Це засвідчує про зростання </w:t>
      </w:r>
      <w:r>
        <w:t>довіри резидентів у 2009-2013 роках до банківської системи та прийнятні пропозиції банків щодо залучення грошових коштів на депозити юридичних і вклади фізичних осіб.</w:t>
      </w:r>
    </w:p>
    <w:p w:rsidR="007B3874" w:rsidRDefault="0018067B">
      <w:pPr>
        <w:pStyle w:val="a5"/>
        <w:framePr w:w="9936" w:h="3639" w:hRule="exact" w:wrap="around" w:vAnchor="page" w:hAnchor="page" w:x="999" w:y="11448"/>
        <w:shd w:val="clear" w:color="auto" w:fill="auto"/>
        <w:spacing w:after="0"/>
        <w:ind w:left="20" w:right="20" w:firstLine="560"/>
        <w:jc w:val="both"/>
      </w:pPr>
      <w:r>
        <w:t>Упродовж всього 2013 року депозити резидентів зростали і на 01.01.2014 року становили 669</w:t>
      </w:r>
      <w:r>
        <w:t>974 млн. грн. (див. табл. 1). Темпи приросту депозитів за 2013 рік зросли до 17,1%.</w:t>
      </w:r>
    </w:p>
    <w:p w:rsidR="007B3874" w:rsidRDefault="0018067B">
      <w:pPr>
        <w:pStyle w:val="a5"/>
        <w:framePr w:w="9936" w:h="3639" w:hRule="exact" w:wrap="around" w:vAnchor="page" w:hAnchor="page" w:x="999" w:y="11448"/>
        <w:shd w:val="clear" w:color="auto" w:fill="auto"/>
        <w:spacing w:after="0"/>
        <w:ind w:left="20" w:right="20" w:firstLine="560"/>
        <w:jc w:val="both"/>
      </w:pPr>
      <w:r>
        <w:t xml:space="preserve">За секторами економіки частка домашніх господарств у депозитах резидентів зросла з 55,5% до 66,0%, у 2011 році знизилась до 63,1% і за 2012-2013 роки знову зросла до 66,0% </w:t>
      </w:r>
      <w:r>
        <w:t>(див. табл. 1).</w:t>
      </w:r>
    </w:p>
    <w:p w:rsidR="007B3874" w:rsidRDefault="0018067B">
      <w:pPr>
        <w:pStyle w:val="a5"/>
        <w:framePr w:w="9936" w:h="3639" w:hRule="exact" w:wrap="around" w:vAnchor="page" w:hAnchor="page" w:x="999" w:y="11448"/>
        <w:shd w:val="clear" w:color="auto" w:fill="auto"/>
        <w:spacing w:after="0"/>
        <w:ind w:left="20" w:right="20" w:firstLine="560"/>
        <w:jc w:val="both"/>
      </w:pPr>
      <w:r>
        <w:t>Депозити сектору домашніх господарств були одним з основних джерел нарощування депозитів у 2013 році, що свідчило про сталу довіру населення до банківської системи. За підсумками 2013 року приріст залишків коштів на рахунках домашніх господ</w:t>
      </w:r>
      <w:r>
        <w:t>арств становив 72687 млн. грн., або 75,2% від загального приросту депозитів резидентів. Така динаміка</w:t>
      </w:r>
    </w:p>
    <w:p w:rsidR="007B3874" w:rsidRDefault="0018067B">
      <w:pPr>
        <w:pStyle w:val="a7"/>
        <w:framePr w:wrap="around" w:vAnchor="page" w:hAnchor="page" w:x="980" w:y="15615"/>
        <w:shd w:val="clear" w:color="auto" w:fill="auto"/>
        <w:spacing w:line="170" w:lineRule="exact"/>
        <w:ind w:left="20"/>
      </w:pPr>
      <w:r>
        <w:rPr>
          <w:lang w:val="en-US" w:eastAsia="en-US" w:bidi="en-US"/>
        </w:rPr>
        <w:t xml:space="preserve">ISSN </w:t>
      </w:r>
      <w:r>
        <w:t>1818-2682. Наука молода, 2014 рік. № 21</w:t>
      </w:r>
    </w:p>
    <w:p w:rsidR="007B3874" w:rsidRDefault="0018067B">
      <w:pPr>
        <w:pStyle w:val="a7"/>
        <w:framePr w:wrap="around" w:vAnchor="page" w:hAnchor="page" w:x="10599" w:y="15620"/>
        <w:shd w:val="clear" w:color="auto" w:fill="auto"/>
        <w:spacing w:line="170" w:lineRule="exact"/>
        <w:ind w:left="20"/>
      </w:pPr>
      <w:r>
        <w:t>285</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a5"/>
        <w:framePr w:w="9936" w:h="6125" w:hRule="exact" w:wrap="around" w:vAnchor="page" w:hAnchor="page" w:x="999" w:y="1214"/>
        <w:shd w:val="clear" w:color="auto" w:fill="auto"/>
        <w:spacing w:after="0"/>
        <w:ind w:left="20" w:right="20"/>
        <w:jc w:val="both"/>
      </w:pPr>
      <w:r>
        <w:lastRenderedPageBreak/>
        <w:t xml:space="preserve">зумовлена збереженням високих темпів зростання реальної заробітної плати населення </w:t>
      </w:r>
      <w:r>
        <w:t>та стабільного курсу гривні щодо долара США. В річному обчисленні темпи приросту депозитів домашніх господарств становили 19,7% % і на 01.01.2014 року становили 441951 млн. грн. (див. табл. 1) [5, с. 39].</w:t>
      </w:r>
    </w:p>
    <w:p w:rsidR="007B3874" w:rsidRDefault="0018067B">
      <w:pPr>
        <w:pStyle w:val="a5"/>
        <w:framePr w:w="9936" w:h="6125" w:hRule="exact" w:wrap="around" w:vAnchor="page" w:hAnchor="page" w:x="999" w:y="1214"/>
        <w:shd w:val="clear" w:color="auto" w:fill="auto"/>
        <w:spacing w:after="0"/>
        <w:ind w:left="20" w:right="20" w:firstLine="560"/>
        <w:jc w:val="both"/>
      </w:pPr>
      <w:r>
        <w:t xml:space="preserve">За 2009-2013 роки депозити нефінансових корпорацій </w:t>
      </w:r>
      <w:r>
        <w:t>зросли на 100364 млн. грн., або в 2,1 раза, з 94796 млн. грн. до 195160 млн. грн. (див. табл. 1).</w:t>
      </w:r>
    </w:p>
    <w:p w:rsidR="007B3874" w:rsidRDefault="0018067B">
      <w:pPr>
        <w:pStyle w:val="a5"/>
        <w:framePr w:w="9936" w:h="6125" w:hRule="exact" w:wrap="around" w:vAnchor="page" w:hAnchor="page" w:x="999" w:y="1214"/>
        <w:shd w:val="clear" w:color="auto" w:fill="auto"/>
        <w:spacing w:after="0"/>
        <w:ind w:left="20" w:right="20" w:firstLine="560"/>
        <w:jc w:val="both"/>
      </w:pPr>
      <w:r>
        <w:t>Динаміка залишків коштів на рахунках сектору нефінансових корпорацій відзначалася коливаннями, які пов’ язані з виробничими циклами корпорацій окремих галузей</w:t>
      </w:r>
      <w:r>
        <w:t xml:space="preserve"> економіки, розмірами надходжень на поточні рахунки та обслуговуванням отриманих кредитів. За підсумками 2013 року депозити нефінансових корпорацій збільшилися на 21841 млн. грн., або на 8,1% (див. табл. 1) [5, с. 39].</w:t>
      </w:r>
    </w:p>
    <w:p w:rsidR="007B3874" w:rsidRDefault="0018067B">
      <w:pPr>
        <w:pStyle w:val="a5"/>
        <w:framePr w:w="9936" w:h="6125" w:hRule="exact" w:wrap="around" w:vAnchor="page" w:hAnchor="page" w:x="999" w:y="1214"/>
        <w:shd w:val="clear" w:color="auto" w:fill="auto"/>
        <w:spacing w:after="0"/>
        <w:ind w:left="20" w:right="20" w:firstLine="560"/>
        <w:jc w:val="both"/>
      </w:pPr>
      <w:r>
        <w:t>Нові депозитні договори протягом 2013</w:t>
      </w:r>
      <w:r>
        <w:t xml:space="preserve"> року укладалися переважно банками з нефінансовими корпораціями. Одночасно збільшились розміри нових депозитів домашніх господарств [5, с. 38].</w:t>
      </w:r>
    </w:p>
    <w:p w:rsidR="007B3874" w:rsidRDefault="0018067B">
      <w:pPr>
        <w:pStyle w:val="a5"/>
        <w:framePr w:w="9936" w:h="6125" w:hRule="exact" w:wrap="around" w:vAnchor="page" w:hAnchor="page" w:x="999" w:y="1214"/>
        <w:shd w:val="clear" w:color="auto" w:fill="auto"/>
        <w:spacing w:after="0"/>
        <w:ind w:left="20" w:right="20" w:firstLine="560"/>
        <w:jc w:val="both"/>
      </w:pPr>
      <w:r>
        <w:t>За даними табл. 1 можна стверджувати про відновлення певної фінансової стабільності та довіри до банківської сис</w:t>
      </w:r>
      <w:r>
        <w:t>теми з боку усіх секторів економіки після кризового 2009 року, оскільки починаючи з 2010 року темпи зростання обсягів депозитів по всіх секторах є очевидними, причому сама структура вкладень залишається практично без змін, зокрема на 01.01.2014 року частка</w:t>
      </w:r>
      <w:r>
        <w:t xml:space="preserve"> депозитів сектору домашніх господарств становила 66,0% депозитів резидентів, залучених депозитними корпораціями, 29,1% - нефінансових корпорацій і 4,9% - інших резидентів [11, с. 64].</w:t>
      </w:r>
    </w:p>
    <w:p w:rsidR="007B3874" w:rsidRDefault="0018067B">
      <w:pPr>
        <w:pStyle w:val="a5"/>
        <w:framePr w:w="9936" w:h="6125" w:hRule="exact" w:wrap="around" w:vAnchor="page" w:hAnchor="page" w:x="999" w:y="1214"/>
        <w:shd w:val="clear" w:color="auto" w:fill="auto"/>
        <w:spacing w:after="0"/>
        <w:ind w:left="20" w:firstLine="560"/>
        <w:jc w:val="both"/>
      </w:pPr>
      <w:r>
        <w:t>Розглянемо динаміку депозитних вкладів резидентів у розрізі видів валют</w:t>
      </w:r>
      <w:r>
        <w:t xml:space="preserve"> (табл. 2).</w:t>
      </w:r>
    </w:p>
    <w:p w:rsidR="007B3874" w:rsidRDefault="0018067B">
      <w:pPr>
        <w:pStyle w:val="a9"/>
        <w:framePr w:w="1104" w:h="303" w:hRule="exact" w:wrap="around" w:vAnchor="page" w:hAnchor="page" w:x="9812" w:y="7704"/>
        <w:shd w:val="clear" w:color="auto" w:fill="auto"/>
        <w:spacing w:line="274" w:lineRule="exact"/>
      </w:pPr>
      <w:r>
        <w:t>Таблиця 2</w:t>
      </w:r>
    </w:p>
    <w:p w:rsidR="007B3874" w:rsidRDefault="0018067B">
      <w:pPr>
        <w:pStyle w:val="a9"/>
        <w:framePr w:w="7987" w:h="589" w:hRule="exact" w:wrap="around" w:vAnchor="page" w:hAnchor="page" w:x="2756" w:y="8006"/>
        <w:shd w:val="clear" w:color="auto" w:fill="auto"/>
        <w:spacing w:line="274" w:lineRule="exact"/>
        <w:ind w:left="20"/>
        <w:jc w:val="both"/>
      </w:pPr>
      <w:r>
        <w:t>Депозити резидентів, залучені депозитними корпораціями,</w:t>
      </w:r>
    </w:p>
    <w:p w:rsidR="007B3874" w:rsidRDefault="0018067B">
      <w:pPr>
        <w:pStyle w:val="a9"/>
        <w:framePr w:w="7987" w:h="589" w:hRule="exact" w:wrap="around" w:vAnchor="page" w:hAnchor="page" w:x="2756" w:y="8006"/>
        <w:shd w:val="clear" w:color="auto" w:fill="auto"/>
        <w:tabs>
          <w:tab w:val="right" w:leader="underscore" w:pos="1652"/>
          <w:tab w:val="right" w:pos="2430"/>
          <w:tab w:val="center" w:pos="2785"/>
          <w:tab w:val="right" w:pos="3817"/>
          <w:tab w:val="right" w:pos="4134"/>
          <w:tab w:val="right" w:pos="4302"/>
          <w:tab w:val="left" w:leader="underscore" w:pos="7978"/>
        </w:tabs>
        <w:spacing w:line="274" w:lineRule="exact"/>
        <w:ind w:left="20"/>
        <w:jc w:val="both"/>
      </w:pPr>
      <w:r>
        <w:tab/>
      </w:r>
      <w:r>
        <w:rPr>
          <w:rStyle w:val="aa"/>
          <w:b/>
          <w:bCs/>
        </w:rPr>
        <w:t>у</w:t>
      </w:r>
      <w:r>
        <w:rPr>
          <w:rStyle w:val="aa"/>
          <w:b/>
          <w:bCs/>
        </w:rPr>
        <w:tab/>
        <w:t>розрізі</w:t>
      </w:r>
      <w:r>
        <w:rPr>
          <w:rStyle w:val="aa"/>
          <w:b/>
          <w:bCs/>
        </w:rPr>
        <w:tab/>
        <w:t>видів</w:t>
      </w:r>
      <w:r>
        <w:rPr>
          <w:rStyle w:val="aa"/>
          <w:b/>
          <w:bCs/>
        </w:rPr>
        <w:tab/>
        <w:t>валют</w:t>
      </w:r>
      <w:r>
        <w:rPr>
          <w:rStyle w:val="aa"/>
          <w:b/>
          <w:bCs/>
        </w:rPr>
        <w:tab/>
        <w:t>[5,</w:t>
      </w:r>
      <w:r>
        <w:rPr>
          <w:rStyle w:val="aa"/>
          <w:b/>
          <w:bCs/>
        </w:rPr>
        <w:tab/>
        <w:t>с. 120]</w:t>
      </w:r>
      <w:r>
        <w:tab/>
      </w:r>
    </w:p>
    <w:tbl>
      <w:tblPr>
        <w:tblOverlap w:val="never"/>
        <w:tblW w:w="0" w:type="auto"/>
        <w:tblLayout w:type="fixed"/>
        <w:tblCellMar>
          <w:left w:w="10" w:type="dxa"/>
          <w:right w:w="10" w:type="dxa"/>
        </w:tblCellMar>
        <w:tblLook w:val="04A0"/>
      </w:tblPr>
      <w:tblGrid>
        <w:gridCol w:w="1603"/>
        <w:gridCol w:w="1594"/>
        <w:gridCol w:w="1594"/>
        <w:gridCol w:w="1594"/>
        <w:gridCol w:w="1598"/>
        <w:gridCol w:w="1603"/>
      </w:tblGrid>
      <w:tr w:rsidR="007B3874">
        <w:tblPrEx>
          <w:tblCellMar>
            <w:top w:w="0" w:type="dxa"/>
            <w:bottom w:w="0" w:type="dxa"/>
          </w:tblCellMar>
        </w:tblPrEx>
        <w:trPr>
          <w:trHeight w:hRule="exact" w:val="298"/>
        </w:trPr>
        <w:tc>
          <w:tcPr>
            <w:tcW w:w="1603" w:type="dxa"/>
            <w:vMerge w:val="restart"/>
            <w:tcBorders>
              <w:top w:val="single" w:sz="4" w:space="0" w:color="auto"/>
              <w:left w:val="single" w:sz="4" w:space="0" w:color="auto"/>
            </w:tcBorders>
            <w:shd w:val="clear" w:color="auto" w:fill="FFFFFF"/>
          </w:tcPr>
          <w:p w:rsidR="007B3874" w:rsidRDefault="0018067B">
            <w:pPr>
              <w:pStyle w:val="a5"/>
              <w:framePr w:w="9586" w:h="2021" w:wrap="around" w:vAnchor="page" w:hAnchor="page" w:x="1172" w:y="8547"/>
              <w:shd w:val="clear" w:color="auto" w:fill="auto"/>
              <w:spacing w:after="0" w:line="210" w:lineRule="exact"/>
            </w:pPr>
            <w:r>
              <w:rPr>
                <w:rStyle w:val="ab"/>
              </w:rPr>
              <w:t>Період</w:t>
            </w:r>
          </w:p>
        </w:tc>
        <w:tc>
          <w:tcPr>
            <w:tcW w:w="1594" w:type="dxa"/>
            <w:vMerge w:val="restart"/>
            <w:tcBorders>
              <w:top w:val="single" w:sz="4" w:space="0" w:color="auto"/>
              <w:left w:val="single" w:sz="4" w:space="0" w:color="auto"/>
            </w:tcBorders>
            <w:shd w:val="clear" w:color="auto" w:fill="FFFFFF"/>
          </w:tcPr>
          <w:p w:rsidR="007B3874" w:rsidRDefault="0018067B">
            <w:pPr>
              <w:pStyle w:val="a5"/>
              <w:framePr w:w="9586" w:h="2021" w:wrap="around" w:vAnchor="page" w:hAnchor="page" w:x="1172" w:y="8547"/>
              <w:shd w:val="clear" w:color="auto" w:fill="auto"/>
              <w:spacing w:after="0" w:line="210" w:lineRule="exact"/>
            </w:pPr>
            <w:r>
              <w:rPr>
                <w:rStyle w:val="ab"/>
              </w:rPr>
              <w:t>Усього</w:t>
            </w:r>
          </w:p>
        </w:tc>
        <w:tc>
          <w:tcPr>
            <w:tcW w:w="3188" w:type="dxa"/>
            <w:gridSpan w:val="2"/>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У національній валюті</w:t>
            </w:r>
          </w:p>
        </w:tc>
        <w:tc>
          <w:tcPr>
            <w:tcW w:w="3201" w:type="dxa"/>
            <w:gridSpan w:val="2"/>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В іноземній валюті</w:t>
            </w:r>
          </w:p>
        </w:tc>
      </w:tr>
      <w:tr w:rsidR="007B3874">
        <w:tblPrEx>
          <w:tblCellMar>
            <w:top w:w="0" w:type="dxa"/>
            <w:bottom w:w="0" w:type="dxa"/>
          </w:tblCellMar>
        </w:tblPrEx>
        <w:trPr>
          <w:trHeight w:hRule="exact" w:val="283"/>
        </w:trPr>
        <w:tc>
          <w:tcPr>
            <w:tcW w:w="1603" w:type="dxa"/>
            <w:vMerge/>
            <w:tcBorders>
              <w:left w:val="single" w:sz="4" w:space="0" w:color="auto"/>
            </w:tcBorders>
            <w:shd w:val="clear" w:color="auto" w:fill="FFFFFF"/>
          </w:tcPr>
          <w:p w:rsidR="007B3874" w:rsidRDefault="007B3874">
            <w:pPr>
              <w:framePr w:w="9586" w:h="2021" w:wrap="around" w:vAnchor="page" w:hAnchor="page" w:x="1172" w:y="8547"/>
            </w:pPr>
          </w:p>
        </w:tc>
        <w:tc>
          <w:tcPr>
            <w:tcW w:w="1594" w:type="dxa"/>
            <w:vMerge/>
            <w:tcBorders>
              <w:left w:val="single" w:sz="4" w:space="0" w:color="auto"/>
            </w:tcBorders>
            <w:shd w:val="clear" w:color="auto" w:fill="FFFFFF"/>
          </w:tcPr>
          <w:p w:rsidR="007B3874" w:rsidRDefault="007B3874">
            <w:pPr>
              <w:framePr w:w="9586" w:h="2021" w:wrap="around" w:vAnchor="page" w:hAnchor="page" w:x="1172" w:y="8547"/>
            </w:pP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Млн. грн.</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Млн. грн.</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w:t>
            </w:r>
          </w:p>
        </w:tc>
      </w:tr>
      <w:tr w:rsidR="007B3874">
        <w:tblPrEx>
          <w:tblCellMar>
            <w:top w:w="0" w:type="dxa"/>
            <w:bottom w:w="0" w:type="dxa"/>
          </w:tblCellMar>
        </w:tblPrEx>
        <w:trPr>
          <w:trHeight w:hRule="exact" w:val="288"/>
        </w:trPr>
        <w:tc>
          <w:tcPr>
            <w:tcW w:w="1603"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2009</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334953</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173091</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51,7</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161862</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48,3</w:t>
            </w:r>
          </w:p>
        </w:tc>
      </w:tr>
      <w:tr w:rsidR="007B3874">
        <w:tblPrEx>
          <w:tblCellMar>
            <w:top w:w="0" w:type="dxa"/>
            <w:bottom w:w="0" w:type="dxa"/>
          </w:tblCellMar>
        </w:tblPrEx>
        <w:trPr>
          <w:trHeight w:hRule="exact" w:val="288"/>
        </w:trPr>
        <w:tc>
          <w:tcPr>
            <w:tcW w:w="1603"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2010</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416650</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239302</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57,4</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177348</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42,6</w:t>
            </w:r>
          </w:p>
        </w:tc>
      </w:tr>
      <w:tr w:rsidR="007B3874">
        <w:tblPrEx>
          <w:tblCellMar>
            <w:top w:w="0" w:type="dxa"/>
            <w:bottom w:w="0" w:type="dxa"/>
          </w:tblCellMar>
        </w:tblPrEx>
        <w:trPr>
          <w:trHeight w:hRule="exact" w:val="283"/>
        </w:trPr>
        <w:tc>
          <w:tcPr>
            <w:tcW w:w="1603"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2011</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491650</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280440</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57,0</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211316</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43,0</w:t>
            </w:r>
          </w:p>
        </w:tc>
      </w:tr>
      <w:tr w:rsidR="007B3874">
        <w:tblPrEx>
          <w:tblCellMar>
            <w:top w:w="0" w:type="dxa"/>
            <w:bottom w:w="0" w:type="dxa"/>
          </w:tblCellMar>
        </w:tblPrEx>
        <w:trPr>
          <w:trHeight w:hRule="exact" w:val="288"/>
        </w:trPr>
        <w:tc>
          <w:tcPr>
            <w:tcW w:w="1603"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2012</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572342</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320268</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56,0</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252074</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44,0</w:t>
            </w:r>
          </w:p>
        </w:tc>
      </w:tr>
      <w:tr w:rsidR="007B3874">
        <w:tblPrEx>
          <w:tblCellMar>
            <w:top w:w="0" w:type="dxa"/>
            <w:bottom w:w="0" w:type="dxa"/>
          </w:tblCellMar>
        </w:tblPrEx>
        <w:trPr>
          <w:trHeight w:hRule="exact" w:val="293"/>
        </w:trPr>
        <w:tc>
          <w:tcPr>
            <w:tcW w:w="1603"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2013</w:t>
            </w:r>
          </w:p>
        </w:tc>
        <w:tc>
          <w:tcPr>
            <w:tcW w:w="15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669974</w:t>
            </w:r>
          </w:p>
        </w:tc>
        <w:tc>
          <w:tcPr>
            <w:tcW w:w="15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421754</w:t>
            </w:r>
          </w:p>
        </w:tc>
        <w:tc>
          <w:tcPr>
            <w:tcW w:w="15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63,0</w:t>
            </w:r>
          </w:p>
        </w:tc>
        <w:tc>
          <w:tcPr>
            <w:tcW w:w="1598"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248220</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7B3874" w:rsidRDefault="0018067B">
            <w:pPr>
              <w:pStyle w:val="a5"/>
              <w:framePr w:w="9586" w:h="2021" w:wrap="around" w:vAnchor="page" w:hAnchor="page" w:x="1172" w:y="8547"/>
              <w:shd w:val="clear" w:color="auto" w:fill="auto"/>
              <w:spacing w:after="0" w:line="210" w:lineRule="exact"/>
            </w:pPr>
            <w:r>
              <w:rPr>
                <w:rStyle w:val="ab"/>
              </w:rPr>
              <w:t>37,0</w:t>
            </w:r>
          </w:p>
        </w:tc>
      </w:tr>
    </w:tbl>
    <w:p w:rsidR="007B3874" w:rsidRDefault="0018067B">
      <w:pPr>
        <w:pStyle w:val="a5"/>
        <w:framePr w:w="9936" w:h="3917" w:hRule="exact" w:wrap="around" w:vAnchor="page" w:hAnchor="page" w:x="999" w:y="10814"/>
        <w:shd w:val="clear" w:color="auto" w:fill="auto"/>
        <w:spacing w:after="0"/>
        <w:ind w:left="20" w:right="20" w:firstLine="560"/>
        <w:jc w:val="both"/>
      </w:pPr>
      <w:r>
        <w:t xml:space="preserve">У 2009 році депозити в національній та іноземній валюті практично вирівнялися, зокрема гривневі депозити резидентів становили 173091 </w:t>
      </w:r>
      <w:r>
        <w:rPr>
          <w:lang w:val="ru-RU" w:eastAsia="ru-RU" w:bidi="ru-RU"/>
        </w:rPr>
        <w:t xml:space="preserve">млн. </w:t>
      </w:r>
      <w:r>
        <w:t>грн., а депозити резидентів в іноземній валюті - 161862 млн. грн. У 2010-2912 роках спостерігається тенденція до збіль</w:t>
      </w:r>
      <w:r>
        <w:t>шення валютних депозитів резидентів.</w:t>
      </w:r>
    </w:p>
    <w:p w:rsidR="007B3874" w:rsidRDefault="0018067B">
      <w:pPr>
        <w:pStyle w:val="a5"/>
        <w:framePr w:w="9936" w:h="3917" w:hRule="exact" w:wrap="around" w:vAnchor="page" w:hAnchor="page" w:x="999" w:y="10814"/>
        <w:shd w:val="clear" w:color="auto" w:fill="auto"/>
        <w:spacing w:after="0"/>
        <w:ind w:left="20" w:right="20" w:firstLine="560"/>
        <w:jc w:val="both"/>
      </w:pPr>
      <w:r>
        <w:t xml:space="preserve">У 2013 році зростання депозитів резидентів відбувалося насамперед у національній валюті. Темпи їхнього нарощування прискорилися майже вдвічі. Залишки депозитів у національній валюті зросли за 2013 рік на 101486 </w:t>
      </w:r>
      <w:r>
        <w:rPr>
          <w:lang w:val="ru-RU" w:eastAsia="ru-RU" w:bidi="ru-RU"/>
        </w:rPr>
        <w:t xml:space="preserve">млн. </w:t>
      </w:r>
      <w:r>
        <w:t>грн</w:t>
      </w:r>
      <w:r>
        <w:t xml:space="preserve">., або на 31,7% (порівняно з 14,2% у 2012 році), а в іноземній знизилися на 3854 </w:t>
      </w:r>
      <w:r>
        <w:rPr>
          <w:lang w:val="ru-RU" w:eastAsia="ru-RU" w:bidi="ru-RU"/>
        </w:rPr>
        <w:t xml:space="preserve">млн. </w:t>
      </w:r>
      <w:r>
        <w:t>грн., або на 1,5% (див. табл. 2) [5, с. 38].</w:t>
      </w:r>
    </w:p>
    <w:p w:rsidR="007B3874" w:rsidRDefault="0018067B">
      <w:pPr>
        <w:pStyle w:val="a5"/>
        <w:framePr w:w="9936" w:h="3917" w:hRule="exact" w:wrap="around" w:vAnchor="page" w:hAnchor="page" w:x="999" w:y="10814"/>
        <w:shd w:val="clear" w:color="auto" w:fill="auto"/>
        <w:spacing w:after="0"/>
        <w:ind w:left="20" w:right="20" w:firstLine="560"/>
        <w:jc w:val="both"/>
      </w:pPr>
      <w:r>
        <w:t xml:space="preserve">З даних, наведених у табл. 2, можна зробити висновок, що розподіл вкладів резидентів за валютами не є однаково пропорційним, </w:t>
      </w:r>
      <w:r>
        <w:t>з великою перевагою депозитів у національній валюті. Однак, в Україні зберігається високий ступінь довіри до іноземної вільноконвертованої валюти, тому депозити в іноземній валюті користуються попитом поряд із депозитами в національній валюті. Наступною пр</w:t>
      </w:r>
      <w:r>
        <w:t>ичиною популярності вкладів в іноземній валюті серед населення України можна назвати можливі ризики втрат внаслідок інфляції і девальвації гривні [11, с. 65].</w:t>
      </w:r>
    </w:p>
    <w:p w:rsidR="007B3874" w:rsidRDefault="0018067B">
      <w:pPr>
        <w:pStyle w:val="a7"/>
        <w:framePr w:wrap="around" w:vAnchor="page" w:hAnchor="page" w:x="980" w:y="15663"/>
        <w:shd w:val="clear" w:color="auto" w:fill="auto"/>
        <w:spacing w:line="170" w:lineRule="exact"/>
        <w:ind w:left="20"/>
      </w:pPr>
      <w:r>
        <w:t>286</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a5"/>
        <w:framePr w:w="9931" w:h="1987" w:hRule="exact" w:wrap="around" w:vAnchor="page" w:hAnchor="page" w:x="1002" w:y="1123"/>
        <w:shd w:val="clear" w:color="auto" w:fill="auto"/>
        <w:spacing w:after="0"/>
        <w:ind w:left="20" w:right="20" w:firstLine="560"/>
        <w:jc w:val="both"/>
      </w:pPr>
      <w:r>
        <w:lastRenderedPageBreak/>
        <w:t>Серед строкових депозитів упродовж 2013 року найвищі темпи приросту спо</w:t>
      </w:r>
      <w:r>
        <w:t xml:space="preserve">стерігалися на рахунках депозитів від 1 року до 2 років (52,2% за 2013 рік порівняно з 23,3% за 2012 рік). Темпи зростання короткострокових депозитів до 1 року в річному обчислення протягом 2013 року мали низхідний </w:t>
      </w:r>
      <w:r>
        <w:rPr>
          <w:lang w:val="ru-RU" w:eastAsia="ru-RU" w:bidi="ru-RU"/>
        </w:rPr>
        <w:t xml:space="preserve">тренд </w:t>
      </w:r>
      <w:r>
        <w:t>і за результатами 2013 року станови</w:t>
      </w:r>
      <w:r>
        <w:t>ли 0,5% (порівняно з 22,1% за 2012 рік). Така тенденція сприяла поліпшенню структури депозитів за строками. Приріст депозитів на вимогу за результатами 2013 року становив 10,9% (порівняно з 5,9% за 2012 рік, табл. 3) [5, с. 38].</w:t>
      </w:r>
    </w:p>
    <w:p w:rsidR="007B3874" w:rsidRDefault="0018067B">
      <w:pPr>
        <w:pStyle w:val="a9"/>
        <w:framePr w:w="1104" w:h="303" w:hRule="exact" w:wrap="around" w:vAnchor="page" w:hAnchor="page" w:x="9814" w:y="3057"/>
        <w:shd w:val="clear" w:color="auto" w:fill="auto"/>
        <w:spacing w:line="274" w:lineRule="exact"/>
      </w:pPr>
      <w:r>
        <w:t>Таблиця 3</w:t>
      </w:r>
    </w:p>
    <w:p w:rsidR="007B3874" w:rsidRDefault="0018067B">
      <w:pPr>
        <w:pStyle w:val="a9"/>
        <w:framePr w:w="8069" w:h="589" w:hRule="exact" w:wrap="around" w:vAnchor="page" w:hAnchor="page" w:x="2730" w:y="3365"/>
        <w:shd w:val="clear" w:color="auto" w:fill="auto"/>
        <w:spacing w:line="274" w:lineRule="exact"/>
        <w:ind w:left="20"/>
        <w:jc w:val="both"/>
      </w:pPr>
      <w:r>
        <w:t>Депозити резидент</w:t>
      </w:r>
      <w:r>
        <w:t>ів, залучені депозитними корпораціями,</w:t>
      </w:r>
    </w:p>
    <w:p w:rsidR="007B3874" w:rsidRDefault="0018067B">
      <w:pPr>
        <w:pStyle w:val="a9"/>
        <w:framePr w:w="8069" w:h="589" w:hRule="exact" w:wrap="around" w:vAnchor="page" w:hAnchor="page" w:x="2730" w:y="3365"/>
        <w:shd w:val="clear" w:color="auto" w:fill="auto"/>
        <w:tabs>
          <w:tab w:val="left" w:leader="underscore" w:pos="6346"/>
          <w:tab w:val="left" w:leader="underscore" w:pos="8089"/>
        </w:tabs>
        <w:spacing w:line="274" w:lineRule="exact"/>
        <w:ind w:left="20"/>
        <w:jc w:val="both"/>
      </w:pPr>
      <w:r>
        <w:t xml:space="preserve">  </w:t>
      </w:r>
      <w:r>
        <w:rPr>
          <w:rStyle w:val="aa"/>
          <w:b/>
          <w:bCs/>
        </w:rPr>
        <w:t>у розрізі строків погашення [5, с. 120]</w:t>
      </w:r>
      <w:r>
        <w:tab/>
      </w:r>
      <w:r>
        <w:tab/>
      </w:r>
    </w:p>
    <w:tbl>
      <w:tblPr>
        <w:tblOverlap w:val="never"/>
        <w:tblW w:w="0" w:type="auto"/>
        <w:tblLayout w:type="fixed"/>
        <w:tblCellMar>
          <w:left w:w="10" w:type="dxa"/>
          <w:right w:w="10" w:type="dxa"/>
        </w:tblCellMar>
        <w:tblLook w:val="04A0"/>
      </w:tblPr>
      <w:tblGrid>
        <w:gridCol w:w="1109"/>
        <w:gridCol w:w="1123"/>
        <w:gridCol w:w="1090"/>
        <w:gridCol w:w="826"/>
        <w:gridCol w:w="1090"/>
        <w:gridCol w:w="821"/>
        <w:gridCol w:w="1056"/>
        <w:gridCol w:w="826"/>
        <w:gridCol w:w="912"/>
        <w:gridCol w:w="840"/>
      </w:tblGrid>
      <w:tr w:rsidR="007B3874">
        <w:tblPrEx>
          <w:tblCellMar>
            <w:top w:w="0" w:type="dxa"/>
            <w:bottom w:w="0" w:type="dxa"/>
          </w:tblCellMar>
        </w:tblPrEx>
        <w:trPr>
          <w:trHeight w:hRule="exact" w:val="293"/>
        </w:trPr>
        <w:tc>
          <w:tcPr>
            <w:tcW w:w="1109" w:type="dxa"/>
            <w:vMerge w:val="restart"/>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Період</w:t>
            </w:r>
          </w:p>
        </w:tc>
        <w:tc>
          <w:tcPr>
            <w:tcW w:w="1123" w:type="dxa"/>
            <w:vMerge w:val="restart"/>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Усього</w:t>
            </w:r>
          </w:p>
        </w:tc>
        <w:tc>
          <w:tcPr>
            <w:tcW w:w="1916" w:type="dxa"/>
            <w:gridSpan w:val="2"/>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на вимогу</w:t>
            </w:r>
          </w:p>
        </w:tc>
        <w:tc>
          <w:tcPr>
            <w:tcW w:w="1911" w:type="dxa"/>
            <w:gridSpan w:val="2"/>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до 1 року</w:t>
            </w:r>
          </w:p>
        </w:tc>
        <w:tc>
          <w:tcPr>
            <w:tcW w:w="1882" w:type="dxa"/>
            <w:gridSpan w:val="2"/>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від 1 до 2 років</w:t>
            </w:r>
          </w:p>
        </w:tc>
        <w:tc>
          <w:tcPr>
            <w:tcW w:w="1752" w:type="dxa"/>
            <w:gridSpan w:val="2"/>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більше 2 років</w:t>
            </w:r>
          </w:p>
        </w:tc>
      </w:tr>
      <w:tr w:rsidR="007B3874">
        <w:tblPrEx>
          <w:tblCellMar>
            <w:top w:w="0" w:type="dxa"/>
            <w:bottom w:w="0" w:type="dxa"/>
          </w:tblCellMar>
        </w:tblPrEx>
        <w:trPr>
          <w:trHeight w:hRule="exact" w:val="562"/>
        </w:trPr>
        <w:tc>
          <w:tcPr>
            <w:tcW w:w="1109" w:type="dxa"/>
            <w:vMerge/>
            <w:tcBorders>
              <w:left w:val="single" w:sz="4" w:space="0" w:color="auto"/>
            </w:tcBorders>
            <w:shd w:val="clear" w:color="auto" w:fill="FFFFFF"/>
          </w:tcPr>
          <w:p w:rsidR="007B3874" w:rsidRDefault="007B3874">
            <w:pPr>
              <w:framePr w:w="9691" w:h="2294" w:wrap="around" w:vAnchor="page" w:hAnchor="page" w:x="1122" w:y="3905"/>
            </w:pPr>
          </w:p>
        </w:tc>
        <w:tc>
          <w:tcPr>
            <w:tcW w:w="1123" w:type="dxa"/>
            <w:vMerge/>
            <w:tcBorders>
              <w:left w:val="single" w:sz="4" w:space="0" w:color="auto"/>
            </w:tcBorders>
            <w:shd w:val="clear" w:color="auto" w:fill="FFFFFF"/>
          </w:tcPr>
          <w:p w:rsidR="007B3874" w:rsidRDefault="007B3874">
            <w:pPr>
              <w:framePr w:w="9691" w:h="2294" w:wrap="around" w:vAnchor="page" w:hAnchor="page" w:x="1122" w:y="3905"/>
            </w:pP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22" w:y="3905"/>
              <w:shd w:val="clear" w:color="auto" w:fill="auto"/>
              <w:spacing w:before="120" w:after="0" w:line="210" w:lineRule="exact"/>
              <w:ind w:left="120"/>
              <w:jc w:val="left"/>
            </w:pPr>
            <w:r>
              <w:rPr>
                <w:rStyle w:val="ab"/>
              </w:rPr>
              <w:t>грн..</w:t>
            </w:r>
          </w:p>
        </w:tc>
        <w:tc>
          <w:tcPr>
            <w:tcW w:w="826" w:type="dxa"/>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w:t>
            </w: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120" w:line="210" w:lineRule="exact"/>
              <w:ind w:left="140"/>
              <w:jc w:val="left"/>
            </w:pPr>
            <w:r>
              <w:rPr>
                <w:rStyle w:val="ab"/>
              </w:rPr>
              <w:t>Млн.</w:t>
            </w:r>
          </w:p>
          <w:p w:rsidR="007B3874" w:rsidRDefault="0018067B">
            <w:pPr>
              <w:pStyle w:val="a5"/>
              <w:framePr w:w="9691" w:h="2294" w:wrap="around" w:vAnchor="page" w:hAnchor="page" w:x="1122" w:y="3905"/>
              <w:shd w:val="clear" w:color="auto" w:fill="auto"/>
              <w:spacing w:before="120" w:after="0" w:line="210" w:lineRule="exact"/>
              <w:ind w:left="140"/>
              <w:jc w:val="left"/>
            </w:pPr>
            <w:r>
              <w:rPr>
                <w:rStyle w:val="ab"/>
              </w:rPr>
              <w:t>грн.</w:t>
            </w:r>
          </w:p>
        </w:tc>
        <w:tc>
          <w:tcPr>
            <w:tcW w:w="821" w:type="dxa"/>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22" w:y="3905"/>
              <w:shd w:val="clear" w:color="auto" w:fill="auto"/>
              <w:spacing w:before="120" w:after="0" w:line="210" w:lineRule="exact"/>
              <w:ind w:left="120"/>
              <w:jc w:val="left"/>
            </w:pPr>
            <w:r>
              <w:rPr>
                <w:rStyle w:val="ab"/>
              </w:rPr>
              <w:t>грн.</w:t>
            </w:r>
          </w:p>
        </w:tc>
        <w:tc>
          <w:tcPr>
            <w:tcW w:w="826" w:type="dxa"/>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22" w:y="3905"/>
              <w:shd w:val="clear" w:color="auto" w:fill="auto"/>
              <w:spacing w:before="120" w:after="0" w:line="210" w:lineRule="exact"/>
              <w:ind w:left="120"/>
              <w:jc w:val="left"/>
            </w:pPr>
            <w:r>
              <w:rPr>
                <w:rStyle w:val="ab"/>
              </w:rPr>
              <w:t>грн.</w:t>
            </w:r>
          </w:p>
        </w:tc>
        <w:tc>
          <w:tcPr>
            <w:tcW w:w="840" w:type="dxa"/>
            <w:tcBorders>
              <w:top w:val="single" w:sz="4" w:space="0" w:color="auto"/>
              <w:left w:val="single" w:sz="4" w:space="0" w:color="auto"/>
              <w:righ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w:t>
            </w:r>
          </w:p>
        </w:tc>
      </w:tr>
      <w:tr w:rsidR="007B3874">
        <w:tblPrEx>
          <w:tblCellMar>
            <w:top w:w="0" w:type="dxa"/>
            <w:bottom w:w="0" w:type="dxa"/>
          </w:tblCellMar>
        </w:tblPrEx>
        <w:trPr>
          <w:trHeight w:hRule="exact" w:val="288"/>
        </w:trPr>
        <w:tc>
          <w:tcPr>
            <w:tcW w:w="1109"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2009</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334953</w:t>
            </w: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119793</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35,8</w:t>
            </w: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135357</w:t>
            </w:r>
          </w:p>
        </w:tc>
        <w:tc>
          <w:tcPr>
            <w:tcW w:w="821"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40,4</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60425</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18,0</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19378</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5,8</w:t>
            </w:r>
          </w:p>
        </w:tc>
      </w:tr>
      <w:tr w:rsidR="007B3874">
        <w:tblPrEx>
          <w:tblCellMar>
            <w:top w:w="0" w:type="dxa"/>
            <w:bottom w:w="0" w:type="dxa"/>
          </w:tblCellMar>
        </w:tblPrEx>
        <w:trPr>
          <w:trHeight w:hRule="exact" w:val="283"/>
        </w:trPr>
        <w:tc>
          <w:tcPr>
            <w:tcW w:w="1109"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2010</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416650</w:t>
            </w: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152477</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36,6</w:t>
            </w: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133499</w:t>
            </w:r>
          </w:p>
        </w:tc>
        <w:tc>
          <w:tcPr>
            <w:tcW w:w="821"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32,0</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106718</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25,6</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23956</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5,8</w:t>
            </w:r>
          </w:p>
        </w:tc>
      </w:tr>
      <w:tr w:rsidR="007B3874">
        <w:tblPrEx>
          <w:tblCellMar>
            <w:top w:w="0" w:type="dxa"/>
            <w:bottom w:w="0" w:type="dxa"/>
          </w:tblCellMar>
        </w:tblPrEx>
        <w:trPr>
          <w:trHeight w:hRule="exact" w:val="288"/>
        </w:trPr>
        <w:tc>
          <w:tcPr>
            <w:tcW w:w="1109"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2011</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491650</w:t>
            </w: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174959</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35,6</w:t>
            </w: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153983</w:t>
            </w:r>
          </w:p>
        </w:tc>
        <w:tc>
          <w:tcPr>
            <w:tcW w:w="821"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31,3</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132907</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27,0</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29907</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6,1</w:t>
            </w:r>
          </w:p>
        </w:tc>
      </w:tr>
      <w:tr w:rsidR="007B3874">
        <w:tblPrEx>
          <w:tblCellMar>
            <w:top w:w="0" w:type="dxa"/>
            <w:bottom w:w="0" w:type="dxa"/>
          </w:tblCellMar>
        </w:tblPrEx>
        <w:trPr>
          <w:trHeight w:hRule="exact" w:val="288"/>
        </w:trPr>
        <w:tc>
          <w:tcPr>
            <w:tcW w:w="1109"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2012</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572342</w:t>
            </w: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185314</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32,4</w:t>
            </w:r>
          </w:p>
        </w:tc>
        <w:tc>
          <w:tcPr>
            <w:tcW w:w="109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187948</w:t>
            </w:r>
          </w:p>
        </w:tc>
        <w:tc>
          <w:tcPr>
            <w:tcW w:w="821"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32,8</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163861</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28,6</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35219</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6,2</w:t>
            </w:r>
          </w:p>
        </w:tc>
      </w:tr>
      <w:tr w:rsidR="007B3874">
        <w:tblPrEx>
          <w:tblCellMar>
            <w:top w:w="0" w:type="dxa"/>
            <w:bottom w:w="0" w:type="dxa"/>
          </w:tblCellMar>
        </w:tblPrEx>
        <w:trPr>
          <w:trHeight w:hRule="exact" w:val="293"/>
        </w:trPr>
        <w:tc>
          <w:tcPr>
            <w:tcW w:w="1109"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2013</w:t>
            </w:r>
          </w:p>
        </w:tc>
        <w:tc>
          <w:tcPr>
            <w:tcW w:w="1123"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669974</w:t>
            </w:r>
          </w:p>
        </w:tc>
        <w:tc>
          <w:tcPr>
            <w:tcW w:w="1090"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205565</w:t>
            </w:r>
          </w:p>
        </w:tc>
        <w:tc>
          <w:tcPr>
            <w:tcW w:w="826"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30,7</w:t>
            </w:r>
          </w:p>
        </w:tc>
        <w:tc>
          <w:tcPr>
            <w:tcW w:w="1090"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188831</w:t>
            </w:r>
          </w:p>
        </w:tc>
        <w:tc>
          <w:tcPr>
            <w:tcW w:w="821"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28,2</w:t>
            </w:r>
          </w:p>
        </w:tc>
        <w:tc>
          <w:tcPr>
            <w:tcW w:w="1056"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249362</w:t>
            </w:r>
          </w:p>
        </w:tc>
        <w:tc>
          <w:tcPr>
            <w:tcW w:w="826"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37,2</w:t>
            </w:r>
          </w:p>
        </w:tc>
        <w:tc>
          <w:tcPr>
            <w:tcW w:w="912"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26216</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3,9</w:t>
            </w:r>
          </w:p>
        </w:tc>
      </w:tr>
    </w:tbl>
    <w:p w:rsidR="007B3874" w:rsidRDefault="0018067B">
      <w:pPr>
        <w:pStyle w:val="a5"/>
        <w:framePr w:w="9931" w:h="1436" w:hRule="exact" w:wrap="around" w:vAnchor="page" w:hAnchor="page" w:x="1002" w:y="6446"/>
        <w:shd w:val="clear" w:color="auto" w:fill="auto"/>
        <w:spacing w:after="0"/>
        <w:ind w:left="20" w:right="20" w:firstLine="560"/>
        <w:jc w:val="both"/>
      </w:pPr>
      <w:r>
        <w:t xml:space="preserve">Зростання </w:t>
      </w:r>
      <w:r>
        <w:t xml:space="preserve">вкладів фізичних осіб на протязі 2013 року відбувалося в основному за рахунок приросту залишків депозитів у національній грошовій одиниці, що було свідченням довіри населення до гривні. Загалом у 2013 році вклади фізичних осіб у національній валюті зросли </w:t>
      </w:r>
      <w:r>
        <w:t>на 38,0% - до 257829 млн. грн., в іноземній валюті - на 0,9% - до 1184122 млн. грн. (табл. 4) [5, с. 39].</w:t>
      </w:r>
    </w:p>
    <w:p w:rsidR="007B3874" w:rsidRDefault="0018067B">
      <w:pPr>
        <w:pStyle w:val="a9"/>
        <w:framePr w:w="1104" w:h="303" w:hRule="exact" w:wrap="around" w:vAnchor="page" w:hAnchor="page" w:x="9814" w:y="8107"/>
        <w:shd w:val="clear" w:color="auto" w:fill="auto"/>
        <w:spacing w:line="274" w:lineRule="exact"/>
      </w:pPr>
      <w:r>
        <w:t>Таблиця 4</w:t>
      </w:r>
    </w:p>
    <w:p w:rsidR="007B3874" w:rsidRDefault="0018067B">
      <w:pPr>
        <w:pStyle w:val="a9"/>
        <w:framePr w:w="8654" w:h="589" w:hRule="exact" w:wrap="around" w:vAnchor="page" w:hAnchor="page" w:x="2091" w:y="8409"/>
        <w:shd w:val="clear" w:color="auto" w:fill="auto"/>
        <w:spacing w:line="274" w:lineRule="exact"/>
        <w:ind w:left="20"/>
        <w:jc w:val="both"/>
      </w:pPr>
      <w:r>
        <w:t>Депозити домашніх господарств, залучені депозитними корпораціями,</w:t>
      </w:r>
    </w:p>
    <w:p w:rsidR="007B3874" w:rsidRDefault="0018067B">
      <w:pPr>
        <w:pStyle w:val="a9"/>
        <w:framePr w:w="8654" w:h="589" w:hRule="exact" w:wrap="around" w:vAnchor="page" w:hAnchor="page" w:x="2091" w:y="8409"/>
        <w:shd w:val="clear" w:color="auto" w:fill="auto"/>
        <w:tabs>
          <w:tab w:val="right" w:leader="underscore" w:pos="2343"/>
          <w:tab w:val="right" w:pos="3121"/>
          <w:tab w:val="right" w:pos="3764"/>
          <w:tab w:val="right" w:pos="4513"/>
          <w:tab w:val="right" w:pos="4825"/>
          <w:tab w:val="right" w:pos="5046"/>
          <w:tab w:val="center" w:pos="5334"/>
          <w:tab w:val="left" w:leader="underscore" w:pos="8674"/>
        </w:tabs>
        <w:spacing w:line="274" w:lineRule="exact"/>
        <w:ind w:left="20"/>
        <w:jc w:val="both"/>
      </w:pPr>
      <w:r>
        <w:t xml:space="preserve"> </w:t>
      </w:r>
      <w:r>
        <w:tab/>
      </w:r>
      <w:r>
        <w:rPr>
          <w:rStyle w:val="aa"/>
          <w:b/>
          <w:bCs/>
        </w:rPr>
        <w:t>у</w:t>
      </w:r>
      <w:r>
        <w:rPr>
          <w:rStyle w:val="aa"/>
          <w:b/>
          <w:bCs/>
        </w:rPr>
        <w:tab/>
        <w:t>розрізі</w:t>
      </w:r>
      <w:r>
        <w:rPr>
          <w:rStyle w:val="aa"/>
          <w:b/>
          <w:bCs/>
        </w:rPr>
        <w:tab/>
        <w:t>видів</w:t>
      </w:r>
      <w:r>
        <w:rPr>
          <w:rStyle w:val="aa"/>
          <w:b/>
          <w:bCs/>
        </w:rPr>
        <w:tab/>
        <w:t>валют</w:t>
      </w:r>
      <w:r>
        <w:rPr>
          <w:rStyle w:val="aa"/>
          <w:b/>
          <w:bCs/>
        </w:rPr>
        <w:tab/>
        <w:t>[5,</w:t>
      </w:r>
      <w:r>
        <w:rPr>
          <w:rStyle w:val="aa"/>
          <w:b/>
          <w:bCs/>
        </w:rPr>
        <w:tab/>
        <w:t>^</w:t>
      </w:r>
      <w:r>
        <w:rPr>
          <w:rStyle w:val="aa"/>
          <w:b/>
          <w:bCs/>
        </w:rPr>
        <w:tab/>
        <w:t>130]</w:t>
      </w:r>
      <w:r>
        <w:tab/>
      </w:r>
    </w:p>
    <w:tbl>
      <w:tblPr>
        <w:tblOverlap w:val="never"/>
        <w:tblW w:w="0" w:type="auto"/>
        <w:tblLayout w:type="fixed"/>
        <w:tblCellMar>
          <w:left w:w="10" w:type="dxa"/>
          <w:right w:w="10" w:type="dxa"/>
        </w:tblCellMar>
        <w:tblLook w:val="04A0"/>
      </w:tblPr>
      <w:tblGrid>
        <w:gridCol w:w="1598"/>
        <w:gridCol w:w="1594"/>
        <w:gridCol w:w="1598"/>
        <w:gridCol w:w="1594"/>
        <w:gridCol w:w="1594"/>
        <w:gridCol w:w="1608"/>
      </w:tblGrid>
      <w:tr w:rsidR="007B3874">
        <w:tblPrEx>
          <w:tblCellMar>
            <w:top w:w="0" w:type="dxa"/>
            <w:bottom w:w="0" w:type="dxa"/>
          </w:tblCellMar>
        </w:tblPrEx>
        <w:trPr>
          <w:trHeight w:hRule="exact" w:val="298"/>
        </w:trPr>
        <w:tc>
          <w:tcPr>
            <w:tcW w:w="1598" w:type="dxa"/>
            <w:vMerge w:val="restart"/>
            <w:tcBorders>
              <w:top w:val="single" w:sz="4" w:space="0" w:color="auto"/>
              <w:left w:val="single" w:sz="4" w:space="0" w:color="auto"/>
            </w:tcBorders>
            <w:shd w:val="clear" w:color="auto" w:fill="FFFFFF"/>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Період</w:t>
            </w:r>
          </w:p>
        </w:tc>
        <w:tc>
          <w:tcPr>
            <w:tcW w:w="1594" w:type="dxa"/>
            <w:vMerge w:val="restart"/>
            <w:tcBorders>
              <w:top w:val="single" w:sz="4" w:space="0" w:color="auto"/>
              <w:left w:val="single" w:sz="4" w:space="0" w:color="auto"/>
            </w:tcBorders>
            <w:shd w:val="clear" w:color="auto" w:fill="FFFFFF"/>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Усього</w:t>
            </w:r>
          </w:p>
        </w:tc>
        <w:tc>
          <w:tcPr>
            <w:tcW w:w="3192" w:type="dxa"/>
            <w:gridSpan w:val="2"/>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У національній валюті</w:t>
            </w:r>
          </w:p>
        </w:tc>
        <w:tc>
          <w:tcPr>
            <w:tcW w:w="3202" w:type="dxa"/>
            <w:gridSpan w:val="2"/>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 xml:space="preserve">В </w:t>
            </w:r>
            <w:r>
              <w:rPr>
                <w:rStyle w:val="ab"/>
              </w:rPr>
              <w:t>іноземній валюті</w:t>
            </w:r>
          </w:p>
        </w:tc>
      </w:tr>
      <w:tr w:rsidR="007B3874">
        <w:tblPrEx>
          <w:tblCellMar>
            <w:top w:w="0" w:type="dxa"/>
            <w:bottom w:w="0" w:type="dxa"/>
          </w:tblCellMar>
        </w:tblPrEx>
        <w:trPr>
          <w:trHeight w:hRule="exact" w:val="283"/>
        </w:trPr>
        <w:tc>
          <w:tcPr>
            <w:tcW w:w="1598" w:type="dxa"/>
            <w:vMerge/>
            <w:tcBorders>
              <w:left w:val="single" w:sz="4" w:space="0" w:color="auto"/>
            </w:tcBorders>
            <w:shd w:val="clear" w:color="auto" w:fill="FFFFFF"/>
          </w:tcPr>
          <w:p w:rsidR="007B3874" w:rsidRDefault="007B3874">
            <w:pPr>
              <w:framePr w:w="9586" w:h="2021" w:wrap="around" w:vAnchor="page" w:hAnchor="page" w:x="1174" w:y="8950"/>
            </w:pPr>
          </w:p>
        </w:tc>
        <w:tc>
          <w:tcPr>
            <w:tcW w:w="1594" w:type="dxa"/>
            <w:vMerge/>
            <w:tcBorders>
              <w:left w:val="single" w:sz="4" w:space="0" w:color="auto"/>
            </w:tcBorders>
            <w:shd w:val="clear" w:color="auto" w:fill="FFFFFF"/>
          </w:tcPr>
          <w:p w:rsidR="007B3874" w:rsidRDefault="007B3874">
            <w:pPr>
              <w:framePr w:w="9586" w:h="2021" w:wrap="around" w:vAnchor="page" w:hAnchor="page" w:x="1174" w:y="8950"/>
            </w:pP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Млн. грн.</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Млн. грн.</w:t>
            </w:r>
          </w:p>
        </w:tc>
        <w:tc>
          <w:tcPr>
            <w:tcW w:w="1608"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w:t>
            </w:r>
          </w:p>
        </w:tc>
      </w:tr>
      <w:tr w:rsidR="007B3874">
        <w:tblPrEx>
          <w:tblCellMar>
            <w:top w:w="0" w:type="dxa"/>
            <w:bottom w:w="0" w:type="dxa"/>
          </w:tblCellMar>
        </w:tblPrEx>
        <w:trPr>
          <w:trHeight w:hRule="exact" w:val="288"/>
        </w:trPr>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2009</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214098</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101081</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47,2</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113016</w:t>
            </w:r>
          </w:p>
        </w:tc>
        <w:tc>
          <w:tcPr>
            <w:tcW w:w="1608"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52,8</w:t>
            </w:r>
          </w:p>
        </w:tc>
      </w:tr>
      <w:tr w:rsidR="007B3874">
        <w:tblPrEx>
          <w:tblCellMar>
            <w:top w:w="0" w:type="dxa"/>
            <w:bottom w:w="0" w:type="dxa"/>
          </w:tblCellMar>
        </w:tblPrEx>
        <w:trPr>
          <w:trHeight w:hRule="exact" w:val="288"/>
        </w:trPr>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2010</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275093</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142924</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52,0</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132169</w:t>
            </w:r>
          </w:p>
        </w:tc>
        <w:tc>
          <w:tcPr>
            <w:tcW w:w="1608"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48,0</w:t>
            </w:r>
          </w:p>
        </w:tc>
      </w:tr>
      <w:tr w:rsidR="007B3874">
        <w:tblPrEx>
          <w:tblCellMar>
            <w:top w:w="0" w:type="dxa"/>
            <w:bottom w:w="0" w:type="dxa"/>
          </w:tblCellMar>
        </w:tblPrEx>
        <w:trPr>
          <w:trHeight w:hRule="exact" w:val="283"/>
        </w:trPr>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2011</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310390</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160530</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51,7</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149860</w:t>
            </w:r>
          </w:p>
        </w:tc>
        <w:tc>
          <w:tcPr>
            <w:tcW w:w="1608"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48,3</w:t>
            </w:r>
          </w:p>
        </w:tc>
      </w:tr>
      <w:tr w:rsidR="007B3874">
        <w:tblPrEx>
          <w:tblCellMar>
            <w:top w:w="0" w:type="dxa"/>
            <w:bottom w:w="0" w:type="dxa"/>
          </w:tblCellMar>
        </w:tblPrEx>
        <w:trPr>
          <w:trHeight w:hRule="exact" w:val="288"/>
        </w:trPr>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2012</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369264</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186772</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50,6</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182493</w:t>
            </w:r>
          </w:p>
        </w:tc>
        <w:tc>
          <w:tcPr>
            <w:tcW w:w="1608"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49,4</w:t>
            </w:r>
          </w:p>
        </w:tc>
      </w:tr>
      <w:tr w:rsidR="007B3874">
        <w:tblPrEx>
          <w:tblCellMar>
            <w:top w:w="0" w:type="dxa"/>
            <w:bottom w:w="0" w:type="dxa"/>
          </w:tblCellMar>
        </w:tblPrEx>
        <w:trPr>
          <w:trHeight w:hRule="exact" w:val="293"/>
        </w:trPr>
        <w:tc>
          <w:tcPr>
            <w:tcW w:w="1598"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2013</w:t>
            </w:r>
          </w:p>
        </w:tc>
        <w:tc>
          <w:tcPr>
            <w:tcW w:w="15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441951</w:t>
            </w:r>
          </w:p>
        </w:tc>
        <w:tc>
          <w:tcPr>
            <w:tcW w:w="1598"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257829</w:t>
            </w:r>
          </w:p>
        </w:tc>
        <w:tc>
          <w:tcPr>
            <w:tcW w:w="15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58,3</w:t>
            </w:r>
          </w:p>
        </w:tc>
        <w:tc>
          <w:tcPr>
            <w:tcW w:w="15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40"/>
              <w:jc w:val="left"/>
            </w:pPr>
            <w:r>
              <w:rPr>
                <w:rStyle w:val="ab"/>
              </w:rPr>
              <w:t>184122</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7B3874" w:rsidRDefault="0018067B">
            <w:pPr>
              <w:pStyle w:val="a5"/>
              <w:framePr w:w="9586" w:h="2021" w:wrap="around" w:vAnchor="page" w:hAnchor="page" w:x="1174" w:y="8950"/>
              <w:shd w:val="clear" w:color="auto" w:fill="auto"/>
              <w:spacing w:after="0" w:line="210" w:lineRule="exact"/>
              <w:ind w:left="120"/>
              <w:jc w:val="left"/>
            </w:pPr>
            <w:r>
              <w:rPr>
                <w:rStyle w:val="ab"/>
              </w:rPr>
              <w:t>41,7</w:t>
            </w:r>
          </w:p>
        </w:tc>
      </w:tr>
    </w:tbl>
    <w:p w:rsidR="007B3874" w:rsidRDefault="0018067B">
      <w:pPr>
        <w:pStyle w:val="a5"/>
        <w:framePr w:w="9931" w:h="3639" w:hRule="exact" w:wrap="around" w:vAnchor="page" w:hAnchor="page" w:x="1002" w:y="11218"/>
        <w:shd w:val="clear" w:color="auto" w:fill="auto"/>
        <w:spacing w:after="0"/>
        <w:ind w:left="20" w:right="20" w:firstLine="560"/>
        <w:jc w:val="both"/>
      </w:pPr>
      <w:r>
        <w:t xml:space="preserve">Доцільно зауважити, що до </w:t>
      </w:r>
      <w:r>
        <w:t>2013 року домашні господарства заощаджували у національній та іноземній валютах практично рівномірно, з певною перевагою вкладів у національній грошовій одиниці (станом на 01.01.2013 року - 50,6% в національній валюті та 49,4% - в іноземній валюті, див. та</w:t>
      </w:r>
      <w:r>
        <w:t>бл. 4) [11, с. 65].</w:t>
      </w:r>
    </w:p>
    <w:p w:rsidR="007B3874" w:rsidRDefault="0018067B">
      <w:pPr>
        <w:pStyle w:val="a5"/>
        <w:framePr w:w="9931" w:h="3639" w:hRule="exact" w:wrap="around" w:vAnchor="page" w:hAnchor="page" w:x="1002" w:y="11218"/>
        <w:shd w:val="clear" w:color="auto" w:fill="auto"/>
        <w:spacing w:after="0"/>
        <w:ind w:left="20" w:right="20" w:firstLine="560"/>
        <w:jc w:val="both"/>
      </w:pPr>
      <w:r>
        <w:t>Дана тенденція свідчить на відповідний рівень недовіри фізичних осіб до національної грошової одиниці (гривні). Це призводить до відкриття термінових вкладів (депозитів) в іноземних вільно конвертованих валютах (станом на 01.01.2013 рок</w:t>
      </w:r>
      <w:r>
        <w:t>у 44,8% вкладів у доларах США) та в євро (8,4%). Для трансакційних вкладів характерним є перевага в сторону національної грошової одиниці (за станом на 01.01.2013 року - 69,9%). Це пояснюється самим призначенням трансакційних рахунків [4, с. 126; 11, с. 65</w:t>
      </w:r>
      <w:r>
        <w:t>].</w:t>
      </w:r>
    </w:p>
    <w:p w:rsidR="007B3874" w:rsidRDefault="0018067B">
      <w:pPr>
        <w:pStyle w:val="a5"/>
        <w:framePr w:w="9931" w:h="3639" w:hRule="exact" w:wrap="around" w:vAnchor="page" w:hAnchor="page" w:x="1002" w:y="11218"/>
        <w:shd w:val="clear" w:color="auto" w:fill="auto"/>
        <w:spacing w:after="0"/>
        <w:ind w:left="20" w:right="20" w:firstLine="560"/>
        <w:jc w:val="both"/>
      </w:pPr>
      <w:r>
        <w:t>За 2013 рік домашні господарства заощаджують у національній та іноземній валютах не рівномірно, з перевагою депозитів у національній валюті (на 01.01.2014 року 58,3 % у національній валюті та 41,7% - в іноземній валюті) (див. табл. 4).</w:t>
      </w:r>
    </w:p>
    <w:p w:rsidR="007B3874" w:rsidRDefault="0018067B">
      <w:pPr>
        <w:pStyle w:val="a7"/>
        <w:framePr w:wrap="around" w:vAnchor="page" w:hAnchor="page" w:x="982" w:y="15615"/>
        <w:shd w:val="clear" w:color="auto" w:fill="auto"/>
        <w:spacing w:line="170" w:lineRule="exact"/>
        <w:ind w:left="20"/>
      </w:pPr>
      <w:r>
        <w:rPr>
          <w:lang w:val="en-US" w:eastAsia="en-US" w:bidi="en-US"/>
        </w:rPr>
        <w:t xml:space="preserve">ISSN </w:t>
      </w:r>
      <w:r>
        <w:t>1818-2682. Н</w:t>
      </w:r>
      <w:r>
        <w:t>аука молода, 2014 рік. № 21</w:t>
      </w:r>
    </w:p>
    <w:p w:rsidR="007B3874" w:rsidRDefault="0018067B">
      <w:pPr>
        <w:pStyle w:val="a7"/>
        <w:framePr w:wrap="around" w:vAnchor="page" w:hAnchor="page" w:x="10602" w:y="15620"/>
        <w:shd w:val="clear" w:color="auto" w:fill="auto"/>
        <w:spacing w:line="170" w:lineRule="exact"/>
        <w:ind w:left="20"/>
      </w:pPr>
      <w:r>
        <w:t>287</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a5"/>
        <w:framePr w:w="9941" w:h="1709" w:hRule="exact" w:wrap="around" w:vAnchor="page" w:hAnchor="page" w:x="997" w:y="1142"/>
        <w:shd w:val="clear" w:color="auto" w:fill="auto"/>
        <w:spacing w:after="0"/>
        <w:ind w:left="20" w:right="20" w:firstLine="560"/>
        <w:jc w:val="both"/>
      </w:pPr>
      <w:r>
        <w:lastRenderedPageBreak/>
        <w:t xml:space="preserve">У 2013 році депозити домашніх господарств, залучені депозитними корпораціями, склали 441951 млн. грн. З них строкові депозити перевищували суму коштів на рахунках до вимоги в чотири раза. Слід </w:t>
      </w:r>
      <w:r>
        <w:t xml:space="preserve">відзначити, що за 2009-2013 роки частка депозитів на вимогу в загальній сумі депозитів домашніх господарств, залучених депозитними корпораціями, постійно знижується, з 26,8% у 2009 році до 18,6% у 2013 році, а депозитів від 1 до 2 років зростає, з 21,8% у </w:t>
      </w:r>
      <w:r>
        <w:t>2009 році до 49,4% у 2013 році (табл. 5) [3, с. 39].</w:t>
      </w:r>
    </w:p>
    <w:p w:rsidR="007B3874" w:rsidRDefault="0018067B">
      <w:pPr>
        <w:pStyle w:val="a9"/>
        <w:framePr w:w="1104" w:h="303" w:hRule="exact" w:wrap="around" w:vAnchor="page" w:hAnchor="page" w:x="9810" w:y="3077"/>
        <w:shd w:val="clear" w:color="auto" w:fill="auto"/>
        <w:spacing w:line="274" w:lineRule="exact"/>
      </w:pPr>
      <w:r>
        <w:t>Таблиця 5</w:t>
      </w:r>
    </w:p>
    <w:p w:rsidR="007B3874" w:rsidRDefault="0018067B">
      <w:pPr>
        <w:pStyle w:val="a9"/>
        <w:framePr w:w="8674" w:h="589" w:hRule="exact" w:wrap="around" w:vAnchor="page" w:hAnchor="page" w:x="2120" w:y="3384"/>
        <w:shd w:val="clear" w:color="auto" w:fill="auto"/>
        <w:spacing w:line="274" w:lineRule="exact"/>
      </w:pPr>
      <w:r>
        <w:t>Депозити домашніх господарств, залучені депозитними корпораціями,</w:t>
      </w:r>
    </w:p>
    <w:p w:rsidR="007B3874" w:rsidRDefault="0018067B">
      <w:pPr>
        <w:pStyle w:val="a9"/>
        <w:framePr w:w="8674" w:h="589" w:hRule="exact" w:wrap="around" w:vAnchor="page" w:hAnchor="page" w:x="2120" w:y="3384"/>
        <w:shd w:val="clear" w:color="auto" w:fill="auto"/>
        <w:tabs>
          <w:tab w:val="right" w:leader="underscore" w:pos="2386"/>
          <w:tab w:val="center" w:pos="2808"/>
          <w:tab w:val="right" w:pos="4027"/>
          <w:tab w:val="left" w:pos="4099"/>
          <w:tab w:val="left" w:leader="underscore" w:pos="6926"/>
          <w:tab w:val="left" w:leader="underscore" w:pos="8674"/>
        </w:tabs>
        <w:spacing w:line="274" w:lineRule="exact"/>
        <w:ind w:left="120"/>
        <w:jc w:val="both"/>
      </w:pPr>
      <w:r>
        <w:tab/>
        <w:t xml:space="preserve"> </w:t>
      </w:r>
      <w:r>
        <w:rPr>
          <w:rStyle w:val="aa"/>
          <w:b/>
          <w:bCs/>
        </w:rPr>
        <w:t>у</w:t>
      </w:r>
      <w:r>
        <w:rPr>
          <w:rStyle w:val="aa"/>
          <w:b/>
          <w:bCs/>
        </w:rPr>
        <w:tab/>
        <w:t>розрізі</w:t>
      </w:r>
      <w:r>
        <w:rPr>
          <w:rStyle w:val="aa"/>
          <w:b/>
          <w:bCs/>
        </w:rPr>
        <w:tab/>
        <w:t>строків</w:t>
      </w:r>
      <w:r>
        <w:rPr>
          <w:rStyle w:val="aa"/>
          <w:b/>
          <w:bCs/>
        </w:rPr>
        <w:tab/>
        <w:t>погашення*</w:t>
      </w:r>
      <w:r>
        <w:tab/>
      </w:r>
      <w:r>
        <w:tab/>
      </w:r>
    </w:p>
    <w:tbl>
      <w:tblPr>
        <w:tblOverlap w:val="never"/>
        <w:tblW w:w="0" w:type="auto"/>
        <w:tblLayout w:type="fixed"/>
        <w:tblCellMar>
          <w:left w:w="10" w:type="dxa"/>
          <w:right w:w="10" w:type="dxa"/>
        </w:tblCellMar>
        <w:tblLook w:val="04A0"/>
      </w:tblPr>
      <w:tblGrid>
        <w:gridCol w:w="1114"/>
        <w:gridCol w:w="1123"/>
        <w:gridCol w:w="1075"/>
        <w:gridCol w:w="826"/>
        <w:gridCol w:w="1094"/>
        <w:gridCol w:w="821"/>
        <w:gridCol w:w="1056"/>
        <w:gridCol w:w="826"/>
        <w:gridCol w:w="917"/>
        <w:gridCol w:w="840"/>
      </w:tblGrid>
      <w:tr w:rsidR="007B3874">
        <w:tblPrEx>
          <w:tblCellMar>
            <w:top w:w="0" w:type="dxa"/>
            <w:bottom w:w="0" w:type="dxa"/>
          </w:tblCellMar>
        </w:tblPrEx>
        <w:trPr>
          <w:trHeight w:hRule="exact" w:val="293"/>
        </w:trPr>
        <w:tc>
          <w:tcPr>
            <w:tcW w:w="1114" w:type="dxa"/>
            <w:vMerge w:val="restart"/>
            <w:tcBorders>
              <w:top w:val="single" w:sz="4" w:space="0" w:color="auto"/>
              <w:left w:val="single" w:sz="4" w:space="0" w:color="auto"/>
            </w:tcBorders>
            <w:shd w:val="clear" w:color="auto" w:fill="FFFFFF"/>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Період</w:t>
            </w:r>
          </w:p>
        </w:tc>
        <w:tc>
          <w:tcPr>
            <w:tcW w:w="1123" w:type="dxa"/>
            <w:vMerge w:val="restart"/>
            <w:tcBorders>
              <w:top w:val="single" w:sz="4" w:space="0" w:color="auto"/>
              <w:left w:val="single" w:sz="4" w:space="0" w:color="auto"/>
            </w:tcBorders>
            <w:shd w:val="clear" w:color="auto" w:fill="FFFFFF"/>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Усього</w:t>
            </w:r>
          </w:p>
        </w:tc>
        <w:tc>
          <w:tcPr>
            <w:tcW w:w="1901" w:type="dxa"/>
            <w:gridSpan w:val="2"/>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на вимогу</w:t>
            </w:r>
          </w:p>
        </w:tc>
        <w:tc>
          <w:tcPr>
            <w:tcW w:w="1915" w:type="dxa"/>
            <w:gridSpan w:val="2"/>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до 1 року</w:t>
            </w:r>
          </w:p>
        </w:tc>
        <w:tc>
          <w:tcPr>
            <w:tcW w:w="1882" w:type="dxa"/>
            <w:gridSpan w:val="2"/>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від 1 до 2 років</w:t>
            </w:r>
          </w:p>
        </w:tc>
        <w:tc>
          <w:tcPr>
            <w:tcW w:w="1757" w:type="dxa"/>
            <w:gridSpan w:val="2"/>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більше 2 років</w:t>
            </w:r>
          </w:p>
        </w:tc>
      </w:tr>
      <w:tr w:rsidR="007B3874">
        <w:tblPrEx>
          <w:tblCellMar>
            <w:top w:w="0" w:type="dxa"/>
            <w:bottom w:w="0" w:type="dxa"/>
          </w:tblCellMar>
        </w:tblPrEx>
        <w:trPr>
          <w:trHeight w:hRule="exact" w:val="562"/>
        </w:trPr>
        <w:tc>
          <w:tcPr>
            <w:tcW w:w="1114" w:type="dxa"/>
            <w:vMerge/>
            <w:tcBorders>
              <w:left w:val="single" w:sz="4" w:space="0" w:color="auto"/>
            </w:tcBorders>
            <w:shd w:val="clear" w:color="auto" w:fill="FFFFFF"/>
          </w:tcPr>
          <w:p w:rsidR="007B3874" w:rsidRDefault="007B3874">
            <w:pPr>
              <w:framePr w:w="9691" w:h="2294" w:wrap="around" w:vAnchor="page" w:hAnchor="page" w:x="1117" w:y="3925"/>
            </w:pPr>
          </w:p>
        </w:tc>
        <w:tc>
          <w:tcPr>
            <w:tcW w:w="1123" w:type="dxa"/>
            <w:vMerge/>
            <w:tcBorders>
              <w:left w:val="single" w:sz="4" w:space="0" w:color="auto"/>
            </w:tcBorders>
            <w:shd w:val="clear" w:color="auto" w:fill="FFFFFF"/>
          </w:tcPr>
          <w:p w:rsidR="007B3874" w:rsidRDefault="007B3874">
            <w:pPr>
              <w:framePr w:w="9691" w:h="2294" w:wrap="around" w:vAnchor="page" w:hAnchor="page" w:x="1117" w:y="3925"/>
            </w:pPr>
          </w:p>
        </w:tc>
        <w:tc>
          <w:tcPr>
            <w:tcW w:w="107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17" w:y="3925"/>
              <w:shd w:val="clear" w:color="auto" w:fill="auto"/>
              <w:spacing w:before="120" w:after="0" w:line="210" w:lineRule="exact"/>
              <w:ind w:left="120"/>
              <w:jc w:val="left"/>
            </w:pPr>
            <w:r>
              <w:rPr>
                <w:rStyle w:val="ab"/>
              </w:rPr>
              <w:t>грн..</w:t>
            </w:r>
          </w:p>
        </w:tc>
        <w:tc>
          <w:tcPr>
            <w:tcW w:w="826" w:type="dxa"/>
            <w:tcBorders>
              <w:top w:val="single" w:sz="4" w:space="0" w:color="auto"/>
              <w:left w:val="single" w:sz="4" w:space="0" w:color="auto"/>
            </w:tcBorders>
            <w:shd w:val="clear" w:color="auto" w:fill="FFFFFF"/>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w:t>
            </w:r>
          </w:p>
        </w:tc>
        <w:tc>
          <w:tcPr>
            <w:tcW w:w="109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17" w:y="3925"/>
              <w:shd w:val="clear" w:color="auto" w:fill="auto"/>
              <w:spacing w:before="120" w:after="0" w:line="210" w:lineRule="exact"/>
              <w:ind w:left="120"/>
              <w:jc w:val="left"/>
            </w:pPr>
            <w:r>
              <w:rPr>
                <w:rStyle w:val="ab"/>
              </w:rPr>
              <w:t>грн.</w:t>
            </w:r>
          </w:p>
        </w:tc>
        <w:tc>
          <w:tcPr>
            <w:tcW w:w="821" w:type="dxa"/>
            <w:tcBorders>
              <w:top w:val="single" w:sz="4" w:space="0" w:color="auto"/>
              <w:left w:val="single" w:sz="4" w:space="0" w:color="auto"/>
            </w:tcBorders>
            <w:shd w:val="clear" w:color="auto" w:fill="FFFFFF"/>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17" w:y="3925"/>
              <w:shd w:val="clear" w:color="auto" w:fill="auto"/>
              <w:spacing w:before="120" w:after="0" w:line="210" w:lineRule="exact"/>
              <w:ind w:left="120"/>
              <w:jc w:val="left"/>
            </w:pPr>
            <w:r>
              <w:rPr>
                <w:rStyle w:val="ab"/>
              </w:rPr>
              <w:t>грн.</w:t>
            </w:r>
          </w:p>
        </w:tc>
        <w:tc>
          <w:tcPr>
            <w:tcW w:w="826" w:type="dxa"/>
            <w:tcBorders>
              <w:top w:val="single" w:sz="4" w:space="0" w:color="auto"/>
              <w:left w:val="single" w:sz="4" w:space="0" w:color="auto"/>
            </w:tcBorders>
            <w:shd w:val="clear" w:color="auto" w:fill="FFFFFF"/>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w:t>
            </w:r>
          </w:p>
        </w:tc>
        <w:tc>
          <w:tcPr>
            <w:tcW w:w="917"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17" w:y="3925"/>
              <w:shd w:val="clear" w:color="auto" w:fill="auto"/>
              <w:spacing w:before="120" w:after="0" w:line="210" w:lineRule="exact"/>
              <w:ind w:left="120"/>
              <w:jc w:val="left"/>
            </w:pPr>
            <w:r>
              <w:rPr>
                <w:rStyle w:val="ab"/>
              </w:rPr>
              <w:t>грн.</w:t>
            </w:r>
          </w:p>
        </w:tc>
        <w:tc>
          <w:tcPr>
            <w:tcW w:w="840" w:type="dxa"/>
            <w:tcBorders>
              <w:top w:val="single" w:sz="4" w:space="0" w:color="auto"/>
              <w:left w:val="single" w:sz="4" w:space="0" w:color="auto"/>
              <w:right w:val="single" w:sz="4" w:space="0" w:color="auto"/>
            </w:tcBorders>
            <w:shd w:val="clear" w:color="auto" w:fill="FFFFFF"/>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w:t>
            </w:r>
          </w:p>
        </w:tc>
      </w:tr>
      <w:tr w:rsidR="007B3874">
        <w:tblPrEx>
          <w:tblCellMar>
            <w:top w:w="0" w:type="dxa"/>
            <w:bottom w:w="0" w:type="dxa"/>
          </w:tblCellMar>
        </w:tblPrEx>
        <w:trPr>
          <w:trHeight w:hRule="exact" w:val="288"/>
        </w:trPr>
        <w:tc>
          <w:tcPr>
            <w:tcW w:w="111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2009</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214098</w:t>
            </w:r>
          </w:p>
        </w:tc>
        <w:tc>
          <w:tcPr>
            <w:tcW w:w="107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57265</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26,8</w:t>
            </w:r>
          </w:p>
        </w:tc>
        <w:tc>
          <w:tcPr>
            <w:tcW w:w="109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98157</w:t>
            </w:r>
          </w:p>
        </w:tc>
        <w:tc>
          <w:tcPr>
            <w:tcW w:w="821"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45,8</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46638</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21,8</w:t>
            </w:r>
          </w:p>
        </w:tc>
        <w:tc>
          <w:tcPr>
            <w:tcW w:w="917"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12038</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5,6</w:t>
            </w:r>
          </w:p>
        </w:tc>
      </w:tr>
      <w:tr w:rsidR="007B3874">
        <w:tblPrEx>
          <w:tblCellMar>
            <w:top w:w="0" w:type="dxa"/>
            <w:bottom w:w="0" w:type="dxa"/>
          </w:tblCellMar>
        </w:tblPrEx>
        <w:trPr>
          <w:trHeight w:hRule="exact" w:val="283"/>
        </w:trPr>
        <w:tc>
          <w:tcPr>
            <w:tcW w:w="111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2010</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275093</w:t>
            </w:r>
          </w:p>
        </w:tc>
        <w:tc>
          <w:tcPr>
            <w:tcW w:w="107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66164</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24,1</w:t>
            </w:r>
          </w:p>
        </w:tc>
        <w:tc>
          <w:tcPr>
            <w:tcW w:w="109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99966</w:t>
            </w:r>
          </w:p>
        </w:tc>
        <w:tc>
          <w:tcPr>
            <w:tcW w:w="821"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36,3</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91938</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33,4</w:t>
            </w:r>
          </w:p>
        </w:tc>
        <w:tc>
          <w:tcPr>
            <w:tcW w:w="917"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17025</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6,2</w:t>
            </w:r>
          </w:p>
        </w:tc>
      </w:tr>
      <w:tr w:rsidR="007B3874">
        <w:tblPrEx>
          <w:tblCellMar>
            <w:top w:w="0" w:type="dxa"/>
            <w:bottom w:w="0" w:type="dxa"/>
          </w:tblCellMar>
        </w:tblPrEx>
        <w:trPr>
          <w:trHeight w:hRule="exact" w:val="288"/>
        </w:trPr>
        <w:tc>
          <w:tcPr>
            <w:tcW w:w="111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2011</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310390</w:t>
            </w:r>
          </w:p>
        </w:tc>
        <w:tc>
          <w:tcPr>
            <w:tcW w:w="107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70921</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22,8</w:t>
            </w:r>
          </w:p>
        </w:tc>
        <w:tc>
          <w:tcPr>
            <w:tcW w:w="109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104440</w:t>
            </w:r>
          </w:p>
        </w:tc>
        <w:tc>
          <w:tcPr>
            <w:tcW w:w="821"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33,7</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113824</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36,7</w:t>
            </w:r>
          </w:p>
        </w:tc>
        <w:tc>
          <w:tcPr>
            <w:tcW w:w="917"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21206</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6,8</w:t>
            </w:r>
          </w:p>
        </w:tc>
      </w:tr>
      <w:tr w:rsidR="007B3874">
        <w:tblPrEx>
          <w:tblCellMar>
            <w:top w:w="0" w:type="dxa"/>
            <w:bottom w:w="0" w:type="dxa"/>
          </w:tblCellMar>
        </w:tblPrEx>
        <w:trPr>
          <w:trHeight w:hRule="exact" w:val="288"/>
        </w:trPr>
        <w:tc>
          <w:tcPr>
            <w:tcW w:w="111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2012</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369264</w:t>
            </w:r>
          </w:p>
        </w:tc>
        <w:tc>
          <w:tcPr>
            <w:tcW w:w="107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77153</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20,9</w:t>
            </w:r>
          </w:p>
        </w:tc>
        <w:tc>
          <w:tcPr>
            <w:tcW w:w="109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125560</w:t>
            </w:r>
          </w:p>
        </w:tc>
        <w:tc>
          <w:tcPr>
            <w:tcW w:w="821"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34,0</w:t>
            </w:r>
          </w:p>
        </w:tc>
        <w:tc>
          <w:tcPr>
            <w:tcW w:w="105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139490</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37,8</w:t>
            </w:r>
          </w:p>
        </w:tc>
        <w:tc>
          <w:tcPr>
            <w:tcW w:w="917"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27062</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7,3</w:t>
            </w:r>
          </w:p>
        </w:tc>
      </w:tr>
      <w:tr w:rsidR="007B3874">
        <w:tblPrEx>
          <w:tblCellMar>
            <w:top w:w="0" w:type="dxa"/>
            <w:bottom w:w="0" w:type="dxa"/>
          </w:tblCellMar>
        </w:tblPrEx>
        <w:trPr>
          <w:trHeight w:hRule="exact" w:val="293"/>
        </w:trPr>
        <w:tc>
          <w:tcPr>
            <w:tcW w:w="111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2013</w:t>
            </w:r>
          </w:p>
        </w:tc>
        <w:tc>
          <w:tcPr>
            <w:tcW w:w="1123"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441951</w:t>
            </w:r>
          </w:p>
        </w:tc>
        <w:tc>
          <w:tcPr>
            <w:tcW w:w="1075"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87720</w:t>
            </w:r>
          </w:p>
        </w:tc>
        <w:tc>
          <w:tcPr>
            <w:tcW w:w="826"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19,8</w:t>
            </w:r>
          </w:p>
        </w:tc>
        <w:tc>
          <w:tcPr>
            <w:tcW w:w="10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121343</w:t>
            </w:r>
          </w:p>
        </w:tc>
        <w:tc>
          <w:tcPr>
            <w:tcW w:w="821"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27,5</w:t>
            </w:r>
          </w:p>
        </w:tc>
        <w:tc>
          <w:tcPr>
            <w:tcW w:w="1056"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218308</w:t>
            </w:r>
          </w:p>
        </w:tc>
        <w:tc>
          <w:tcPr>
            <w:tcW w:w="826"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49,4</w:t>
            </w:r>
          </w:p>
        </w:tc>
        <w:tc>
          <w:tcPr>
            <w:tcW w:w="917"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14580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7B3874" w:rsidRDefault="0018067B">
            <w:pPr>
              <w:pStyle w:val="a5"/>
              <w:framePr w:w="9691" w:h="2294" w:wrap="around" w:vAnchor="page" w:hAnchor="page" w:x="1117" w:y="3925"/>
              <w:shd w:val="clear" w:color="auto" w:fill="auto"/>
              <w:spacing w:after="0" w:line="210" w:lineRule="exact"/>
              <w:ind w:left="120"/>
              <w:jc w:val="left"/>
            </w:pPr>
            <w:r>
              <w:rPr>
                <w:rStyle w:val="ab"/>
              </w:rPr>
              <w:t>3,3</w:t>
            </w:r>
          </w:p>
        </w:tc>
      </w:tr>
    </w:tbl>
    <w:p w:rsidR="007B3874" w:rsidRDefault="0018067B">
      <w:pPr>
        <w:pStyle w:val="23"/>
        <w:framePr w:wrap="around" w:vAnchor="page" w:hAnchor="page" w:x="1587" w:y="6238"/>
        <w:shd w:val="clear" w:color="auto" w:fill="auto"/>
        <w:spacing w:line="210" w:lineRule="exact"/>
      </w:pPr>
      <w:r>
        <w:t>* Джерело: Бюлетень Національного банку України. - 2014. - № 2. С. 130</w:t>
      </w:r>
    </w:p>
    <w:p w:rsidR="007B3874" w:rsidRDefault="0018067B">
      <w:pPr>
        <w:pStyle w:val="a5"/>
        <w:framePr w:w="9941" w:h="3370" w:hRule="exact" w:wrap="around" w:vAnchor="page" w:hAnchor="page" w:x="997" w:y="6739"/>
        <w:shd w:val="clear" w:color="auto" w:fill="auto"/>
        <w:spacing w:after="0"/>
        <w:ind w:left="20" w:right="20" w:firstLine="560"/>
        <w:jc w:val="both"/>
      </w:pPr>
      <w:r>
        <w:t xml:space="preserve">Упродовж 2013 року найвищі темпи зростання спостерігалися за депозитами домашніх господарств від 1 року до 2 років на 78818 </w:t>
      </w:r>
      <w:r>
        <w:t>млн. грн., або на 56,5% (див. табл. 5). Також збільшилися залишки на рахунках домашніх господарств на вимогу на 10567 млн. грн., або на 13,7%, зокрема за рахунок збільшення надходжень на зарплатні та інші соціальні рахунки. Зростанню залишків на рахунках д</w:t>
      </w:r>
      <w:r>
        <w:t>омашніх господарств на вимогу також сприяло зарахування коштів від продажу валютних надходжень на користь фізичних осіб з-за кордону та введення у вересні 2013 року граничної суми розрахунків готівкою до 150 тис. грн. [5, с. 39].</w:t>
      </w:r>
    </w:p>
    <w:p w:rsidR="007B3874" w:rsidRDefault="0018067B">
      <w:pPr>
        <w:pStyle w:val="a5"/>
        <w:framePr w:w="9941" w:h="3370" w:hRule="exact" w:wrap="around" w:vAnchor="page" w:hAnchor="page" w:x="997" w:y="6739"/>
        <w:shd w:val="clear" w:color="auto" w:fill="auto"/>
        <w:spacing w:after="0"/>
        <w:ind w:left="20" w:right="20" w:firstLine="560"/>
        <w:jc w:val="both"/>
      </w:pPr>
      <w:r>
        <w:t>За 2013 рік найбільше зрос</w:t>
      </w:r>
      <w:r>
        <w:t>ли залишки на рахунках нефінансових корпорацій у гривнях - на 25598 млн. грн., або на 22,7%. На рахунках нефінансових корпорацій відбулося скорочення залишків в іноземній валюті на - 3757 млн. грн., або на - 6,2% (табл. 6). Така динаміка сформувалася внасл</w:t>
      </w:r>
      <w:r>
        <w:t>ідок коливань надходжень та платежів за зовнішньоекономічними договорами, а також отримання та обслуговування кредитів [4, с. 22].</w:t>
      </w:r>
    </w:p>
    <w:p w:rsidR="007B3874" w:rsidRDefault="0018067B">
      <w:pPr>
        <w:pStyle w:val="a9"/>
        <w:framePr w:w="1104" w:h="303" w:hRule="exact" w:wrap="around" w:vAnchor="page" w:hAnchor="page" w:x="9810" w:y="10334"/>
        <w:shd w:val="clear" w:color="auto" w:fill="auto"/>
        <w:spacing w:line="274" w:lineRule="exact"/>
      </w:pPr>
      <w:r>
        <w:t>Таблиця 6</w:t>
      </w:r>
    </w:p>
    <w:p w:rsidR="007B3874" w:rsidRDefault="0018067B">
      <w:pPr>
        <w:pStyle w:val="a9"/>
        <w:framePr w:w="8832" w:h="589" w:hRule="exact" w:wrap="around" w:vAnchor="page" w:hAnchor="page" w:x="1909" w:y="10637"/>
        <w:shd w:val="clear" w:color="auto" w:fill="auto"/>
        <w:spacing w:line="274" w:lineRule="exact"/>
        <w:ind w:left="20"/>
        <w:jc w:val="both"/>
      </w:pPr>
      <w:r>
        <w:t>Депозити нефінансових корпорацій, залучені депозитними корпораціями,</w:t>
      </w:r>
    </w:p>
    <w:p w:rsidR="007B3874" w:rsidRDefault="0018067B">
      <w:pPr>
        <w:pStyle w:val="a9"/>
        <w:framePr w:w="8832" w:h="589" w:hRule="exact" w:wrap="around" w:vAnchor="page" w:hAnchor="page" w:x="1909" w:y="10637"/>
        <w:shd w:val="clear" w:color="auto" w:fill="auto"/>
        <w:tabs>
          <w:tab w:val="right" w:leader="underscore" w:pos="2526"/>
          <w:tab w:val="right" w:pos="3303"/>
          <w:tab w:val="right" w:pos="3942"/>
          <w:tab w:val="right" w:pos="4690"/>
          <w:tab w:val="right" w:pos="5007"/>
          <w:tab w:val="right" w:pos="5175"/>
          <w:tab w:val="left" w:leader="underscore" w:pos="8852"/>
        </w:tabs>
        <w:spacing w:line="274" w:lineRule="exact"/>
        <w:ind w:left="20"/>
        <w:jc w:val="both"/>
      </w:pPr>
      <w:r>
        <w:tab/>
        <w:t xml:space="preserve"> </w:t>
      </w:r>
      <w:r>
        <w:rPr>
          <w:rStyle w:val="aa"/>
          <w:b/>
          <w:bCs/>
        </w:rPr>
        <w:t>у</w:t>
      </w:r>
      <w:r>
        <w:rPr>
          <w:rStyle w:val="aa"/>
          <w:b/>
          <w:bCs/>
        </w:rPr>
        <w:tab/>
        <w:t>розрізі</w:t>
      </w:r>
      <w:r>
        <w:rPr>
          <w:rStyle w:val="aa"/>
          <w:b/>
          <w:bCs/>
        </w:rPr>
        <w:tab/>
        <w:t>видів</w:t>
      </w:r>
      <w:r>
        <w:rPr>
          <w:rStyle w:val="aa"/>
          <w:b/>
          <w:bCs/>
        </w:rPr>
        <w:tab/>
        <w:t>валют</w:t>
      </w:r>
      <w:r>
        <w:rPr>
          <w:rStyle w:val="aa"/>
          <w:b/>
          <w:bCs/>
        </w:rPr>
        <w:tab/>
        <w:t>[5,</w:t>
      </w:r>
      <w:r>
        <w:rPr>
          <w:rStyle w:val="aa"/>
          <w:b/>
          <w:bCs/>
        </w:rPr>
        <w:tab/>
        <w:t>с. 125]</w:t>
      </w:r>
      <w:r>
        <w:tab/>
      </w:r>
    </w:p>
    <w:tbl>
      <w:tblPr>
        <w:tblOverlap w:val="never"/>
        <w:tblW w:w="0" w:type="auto"/>
        <w:tblLayout w:type="fixed"/>
        <w:tblCellMar>
          <w:left w:w="10" w:type="dxa"/>
          <w:right w:w="10" w:type="dxa"/>
        </w:tblCellMar>
        <w:tblLook w:val="04A0"/>
      </w:tblPr>
      <w:tblGrid>
        <w:gridCol w:w="1603"/>
        <w:gridCol w:w="1594"/>
        <w:gridCol w:w="1594"/>
        <w:gridCol w:w="1594"/>
        <w:gridCol w:w="1598"/>
        <w:gridCol w:w="1603"/>
      </w:tblGrid>
      <w:tr w:rsidR="007B3874">
        <w:tblPrEx>
          <w:tblCellMar>
            <w:top w:w="0" w:type="dxa"/>
            <w:bottom w:w="0" w:type="dxa"/>
          </w:tblCellMar>
        </w:tblPrEx>
        <w:trPr>
          <w:trHeight w:hRule="exact" w:val="298"/>
        </w:trPr>
        <w:tc>
          <w:tcPr>
            <w:tcW w:w="1603" w:type="dxa"/>
            <w:vMerge w:val="restart"/>
            <w:tcBorders>
              <w:top w:val="single" w:sz="4" w:space="0" w:color="auto"/>
              <w:left w:val="single" w:sz="4" w:space="0" w:color="auto"/>
            </w:tcBorders>
            <w:shd w:val="clear" w:color="auto" w:fill="FFFFFF"/>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Період</w:t>
            </w:r>
          </w:p>
        </w:tc>
        <w:tc>
          <w:tcPr>
            <w:tcW w:w="1594" w:type="dxa"/>
            <w:vMerge w:val="restart"/>
            <w:tcBorders>
              <w:top w:val="single" w:sz="4" w:space="0" w:color="auto"/>
              <w:left w:val="single" w:sz="4" w:space="0" w:color="auto"/>
            </w:tcBorders>
            <w:shd w:val="clear" w:color="auto" w:fill="FFFFFF"/>
          </w:tcPr>
          <w:p w:rsidR="007B3874" w:rsidRDefault="0018067B">
            <w:pPr>
              <w:pStyle w:val="a5"/>
              <w:framePr w:w="9586" w:h="2021" w:wrap="around" w:vAnchor="page" w:hAnchor="page" w:x="1170" w:y="11177"/>
              <w:shd w:val="clear" w:color="auto" w:fill="auto"/>
              <w:spacing w:after="0" w:line="210" w:lineRule="exact"/>
              <w:ind w:left="140"/>
              <w:jc w:val="left"/>
            </w:pPr>
            <w:r>
              <w:rPr>
                <w:rStyle w:val="ab"/>
              </w:rPr>
              <w:t>Усього</w:t>
            </w:r>
          </w:p>
        </w:tc>
        <w:tc>
          <w:tcPr>
            <w:tcW w:w="3188" w:type="dxa"/>
            <w:gridSpan w:val="2"/>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У національній валюті</w:t>
            </w:r>
          </w:p>
        </w:tc>
        <w:tc>
          <w:tcPr>
            <w:tcW w:w="3201" w:type="dxa"/>
            <w:gridSpan w:val="2"/>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В іноземній валюті</w:t>
            </w:r>
          </w:p>
        </w:tc>
      </w:tr>
      <w:tr w:rsidR="007B3874">
        <w:tblPrEx>
          <w:tblCellMar>
            <w:top w:w="0" w:type="dxa"/>
            <w:bottom w:w="0" w:type="dxa"/>
          </w:tblCellMar>
        </w:tblPrEx>
        <w:trPr>
          <w:trHeight w:hRule="exact" w:val="283"/>
        </w:trPr>
        <w:tc>
          <w:tcPr>
            <w:tcW w:w="1603" w:type="dxa"/>
            <w:vMerge/>
            <w:tcBorders>
              <w:left w:val="single" w:sz="4" w:space="0" w:color="auto"/>
            </w:tcBorders>
            <w:shd w:val="clear" w:color="auto" w:fill="FFFFFF"/>
          </w:tcPr>
          <w:p w:rsidR="007B3874" w:rsidRDefault="007B3874">
            <w:pPr>
              <w:framePr w:w="9586" w:h="2021" w:wrap="around" w:vAnchor="page" w:hAnchor="page" w:x="1170" w:y="11177"/>
            </w:pPr>
          </w:p>
        </w:tc>
        <w:tc>
          <w:tcPr>
            <w:tcW w:w="1594" w:type="dxa"/>
            <w:vMerge/>
            <w:tcBorders>
              <w:left w:val="single" w:sz="4" w:space="0" w:color="auto"/>
            </w:tcBorders>
            <w:shd w:val="clear" w:color="auto" w:fill="FFFFFF"/>
          </w:tcPr>
          <w:p w:rsidR="007B3874" w:rsidRDefault="007B3874">
            <w:pPr>
              <w:framePr w:w="9586" w:h="2021" w:wrap="around" w:vAnchor="page" w:hAnchor="page" w:x="1170" w:y="11177"/>
            </w:pP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Млн. грн.</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Млн. грн.</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w:t>
            </w:r>
          </w:p>
        </w:tc>
      </w:tr>
      <w:tr w:rsidR="007B3874">
        <w:tblPrEx>
          <w:tblCellMar>
            <w:top w:w="0" w:type="dxa"/>
            <w:bottom w:w="0" w:type="dxa"/>
          </w:tblCellMar>
        </w:tblPrEx>
        <w:trPr>
          <w:trHeight w:hRule="exact" w:val="288"/>
        </w:trPr>
        <w:tc>
          <w:tcPr>
            <w:tcW w:w="1603"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2009</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40"/>
              <w:jc w:val="left"/>
            </w:pPr>
            <w:r>
              <w:rPr>
                <w:rStyle w:val="ab"/>
              </w:rPr>
              <w:t>94796</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58866</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62,1</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35930</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37,9</w:t>
            </w:r>
          </w:p>
        </w:tc>
      </w:tr>
      <w:tr w:rsidR="007B3874">
        <w:tblPrEx>
          <w:tblCellMar>
            <w:top w:w="0" w:type="dxa"/>
            <w:bottom w:w="0" w:type="dxa"/>
          </w:tblCellMar>
        </w:tblPrEx>
        <w:trPr>
          <w:trHeight w:hRule="exact" w:val="283"/>
        </w:trPr>
        <w:tc>
          <w:tcPr>
            <w:tcW w:w="1603"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2010</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40"/>
              <w:jc w:val="left"/>
            </w:pPr>
            <w:r>
              <w:rPr>
                <w:rStyle w:val="ab"/>
              </w:rPr>
              <w:t>116105</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80646</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69,5</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35459</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30,5</w:t>
            </w:r>
          </w:p>
        </w:tc>
      </w:tr>
      <w:tr w:rsidR="007B3874">
        <w:tblPrEx>
          <w:tblCellMar>
            <w:top w:w="0" w:type="dxa"/>
            <w:bottom w:w="0" w:type="dxa"/>
          </w:tblCellMar>
        </w:tblPrEx>
        <w:trPr>
          <w:trHeight w:hRule="exact" w:val="288"/>
        </w:trPr>
        <w:tc>
          <w:tcPr>
            <w:tcW w:w="1603"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2011</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40"/>
              <w:jc w:val="left"/>
            </w:pPr>
            <w:r>
              <w:rPr>
                <w:rStyle w:val="ab"/>
              </w:rPr>
              <w:t>153120</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101435</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66,2</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51685</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33,8</w:t>
            </w:r>
          </w:p>
        </w:tc>
      </w:tr>
      <w:tr w:rsidR="007B3874">
        <w:tblPrEx>
          <w:tblCellMar>
            <w:top w:w="0" w:type="dxa"/>
            <w:bottom w:w="0" w:type="dxa"/>
          </w:tblCellMar>
        </w:tblPrEx>
        <w:trPr>
          <w:trHeight w:hRule="exact" w:val="288"/>
        </w:trPr>
        <w:tc>
          <w:tcPr>
            <w:tcW w:w="1603"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2012</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40"/>
              <w:jc w:val="left"/>
            </w:pPr>
            <w:r>
              <w:rPr>
                <w:rStyle w:val="ab"/>
              </w:rPr>
              <w:t>173319</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112644</w:t>
            </w:r>
          </w:p>
        </w:tc>
        <w:tc>
          <w:tcPr>
            <w:tcW w:w="1594"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65,0</w:t>
            </w:r>
          </w:p>
        </w:tc>
        <w:tc>
          <w:tcPr>
            <w:tcW w:w="1598" w:type="dxa"/>
            <w:tcBorders>
              <w:top w:val="single" w:sz="4" w:space="0" w:color="auto"/>
              <w:lef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60675</w:t>
            </w:r>
          </w:p>
        </w:tc>
        <w:tc>
          <w:tcPr>
            <w:tcW w:w="1603"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35,0</w:t>
            </w:r>
          </w:p>
        </w:tc>
      </w:tr>
      <w:tr w:rsidR="007B3874">
        <w:tblPrEx>
          <w:tblCellMar>
            <w:top w:w="0" w:type="dxa"/>
            <w:bottom w:w="0" w:type="dxa"/>
          </w:tblCellMar>
        </w:tblPrEx>
        <w:trPr>
          <w:trHeight w:hRule="exact" w:val="293"/>
        </w:trPr>
        <w:tc>
          <w:tcPr>
            <w:tcW w:w="1603"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2013</w:t>
            </w:r>
          </w:p>
        </w:tc>
        <w:tc>
          <w:tcPr>
            <w:tcW w:w="15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40"/>
              <w:jc w:val="left"/>
            </w:pPr>
            <w:r>
              <w:rPr>
                <w:rStyle w:val="ab"/>
              </w:rPr>
              <w:t>195160</w:t>
            </w:r>
          </w:p>
        </w:tc>
        <w:tc>
          <w:tcPr>
            <w:tcW w:w="15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138242</w:t>
            </w:r>
          </w:p>
        </w:tc>
        <w:tc>
          <w:tcPr>
            <w:tcW w:w="159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70,8</w:t>
            </w:r>
          </w:p>
        </w:tc>
        <w:tc>
          <w:tcPr>
            <w:tcW w:w="1598"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56918</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7B3874" w:rsidRDefault="0018067B">
            <w:pPr>
              <w:pStyle w:val="a5"/>
              <w:framePr w:w="9586" w:h="2021" w:wrap="around" w:vAnchor="page" w:hAnchor="page" w:x="1170" w:y="11177"/>
              <w:shd w:val="clear" w:color="auto" w:fill="auto"/>
              <w:spacing w:after="0" w:line="210" w:lineRule="exact"/>
              <w:ind w:left="120"/>
              <w:jc w:val="left"/>
            </w:pPr>
            <w:r>
              <w:rPr>
                <w:rStyle w:val="ab"/>
              </w:rPr>
              <w:t>29,2</w:t>
            </w:r>
          </w:p>
        </w:tc>
      </w:tr>
    </w:tbl>
    <w:p w:rsidR="007B3874" w:rsidRDefault="0018067B">
      <w:pPr>
        <w:pStyle w:val="a5"/>
        <w:framePr w:w="9941" w:h="1714" w:hRule="exact" w:wrap="around" w:vAnchor="page" w:hAnchor="page" w:x="997" w:y="13445"/>
        <w:shd w:val="clear" w:color="auto" w:fill="auto"/>
        <w:spacing w:after="0"/>
        <w:ind w:left="20" w:right="20" w:firstLine="560"/>
        <w:jc w:val="both"/>
      </w:pPr>
      <w:r>
        <w:t xml:space="preserve">У </w:t>
      </w:r>
      <w:r>
        <w:t>2013 році депозити нефінансових корпорацій, залучені депозитними корпораціями, зросли на 21841 млн. грн., або на 12,6%, і становили 195160 млн. грн. З них сума коштів на вимогу перевищувала строкові депозити на 17254 млн. грн. Слід відзначити, що за 2010-2</w:t>
      </w:r>
      <w:r>
        <w:t>013 роки частка депозитів до вимоги у загальній сумі депозитів нефінансових корпорацій, залучених депозитними корпораціями, постійно знижується, з 64,5% у 2010 році до 54,4% у 2013 році (табл. 7).</w:t>
      </w:r>
    </w:p>
    <w:p w:rsidR="007B3874" w:rsidRDefault="0018067B">
      <w:pPr>
        <w:pStyle w:val="a7"/>
        <w:framePr w:wrap="around" w:vAnchor="page" w:hAnchor="page" w:x="978" w:y="15591"/>
        <w:shd w:val="clear" w:color="auto" w:fill="auto"/>
        <w:spacing w:line="170" w:lineRule="exact"/>
        <w:ind w:left="20"/>
      </w:pPr>
      <w:r>
        <w:t>288</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a5"/>
        <w:framePr w:w="9931" w:h="1709" w:hRule="exact" w:wrap="around" w:vAnchor="page" w:hAnchor="page" w:x="1002" w:y="1123"/>
        <w:shd w:val="clear" w:color="auto" w:fill="auto"/>
        <w:spacing w:after="0"/>
        <w:ind w:left="20" w:right="20" w:firstLine="560"/>
        <w:jc w:val="both"/>
      </w:pPr>
      <w:r>
        <w:lastRenderedPageBreak/>
        <w:t xml:space="preserve">За 2013 рік строкові депозити </w:t>
      </w:r>
      <w:r>
        <w:t xml:space="preserve">нефінансових корпорацій, залучених депозитними корпораціями, зростали швидше, ніж депозити на вимогу. Так, за 2013 рік залишки на рахунках нефінансових корпорацій на вимогу зросли на 10412 млн. грн., або на 10,9%, а строкові депозити - на 11429 млн. грн., </w:t>
      </w:r>
      <w:r>
        <w:t>або на 14,7%, зокрема, до 1 року в - на 5100 млн. грн., або на 10,2%, від 1 до 2 років - на 4166 млн. грн., або на 20,0%, більше 2 років - 2164 млн. грн., або на 33,1% (див. табл. 7) [3, с. 39].</w:t>
      </w:r>
    </w:p>
    <w:p w:rsidR="007B3874" w:rsidRDefault="0018067B">
      <w:pPr>
        <w:pStyle w:val="a9"/>
        <w:framePr w:w="1104" w:h="303" w:hRule="exact" w:wrap="around" w:vAnchor="page" w:hAnchor="page" w:x="9814" w:y="3057"/>
        <w:shd w:val="clear" w:color="auto" w:fill="auto"/>
        <w:spacing w:line="274" w:lineRule="exact"/>
      </w:pPr>
      <w:r>
        <w:t>Таблиця 7</w:t>
      </w:r>
    </w:p>
    <w:p w:rsidR="007B3874" w:rsidRDefault="0018067B">
      <w:pPr>
        <w:pStyle w:val="a9"/>
        <w:framePr w:w="8861" w:h="589" w:hRule="exact" w:wrap="around" w:vAnchor="page" w:hAnchor="page" w:x="1938" w:y="3365"/>
        <w:shd w:val="clear" w:color="auto" w:fill="auto"/>
        <w:spacing w:line="274" w:lineRule="exact"/>
      </w:pPr>
      <w:r>
        <w:t>Депозити нефінансових корпорацій, залучені депозитн</w:t>
      </w:r>
      <w:r>
        <w:t>ими корпораціями,</w:t>
      </w:r>
    </w:p>
    <w:p w:rsidR="007B3874" w:rsidRDefault="0018067B">
      <w:pPr>
        <w:pStyle w:val="a9"/>
        <w:framePr w:w="8861" w:h="589" w:hRule="exact" w:wrap="around" w:vAnchor="page" w:hAnchor="page" w:x="1938" w:y="3365"/>
        <w:shd w:val="clear" w:color="auto" w:fill="auto"/>
        <w:tabs>
          <w:tab w:val="right" w:leader="underscore" w:pos="2532"/>
          <w:tab w:val="left" w:pos="2604"/>
          <w:tab w:val="left" w:leader="underscore" w:pos="7111"/>
          <w:tab w:val="left" w:leader="underscore" w:pos="8854"/>
        </w:tabs>
        <w:spacing w:line="274" w:lineRule="exact"/>
        <w:ind w:left="300"/>
        <w:jc w:val="both"/>
      </w:pPr>
      <w:r>
        <w:tab/>
        <w:t xml:space="preserve"> </w:t>
      </w:r>
      <w:r>
        <w:rPr>
          <w:rStyle w:val="aa"/>
          <w:b/>
          <w:bCs/>
        </w:rPr>
        <w:t>у</w:t>
      </w:r>
      <w:r>
        <w:rPr>
          <w:rStyle w:val="aa"/>
          <w:b/>
          <w:bCs/>
        </w:rPr>
        <w:tab/>
        <w:t>розрізі строків погашення *</w:t>
      </w:r>
      <w:r>
        <w:tab/>
      </w:r>
      <w:r>
        <w:tab/>
      </w:r>
    </w:p>
    <w:tbl>
      <w:tblPr>
        <w:tblOverlap w:val="never"/>
        <w:tblW w:w="0" w:type="auto"/>
        <w:tblLayout w:type="fixed"/>
        <w:tblCellMar>
          <w:left w:w="10" w:type="dxa"/>
          <w:right w:w="10" w:type="dxa"/>
        </w:tblCellMar>
        <w:tblLook w:val="04A0"/>
      </w:tblPr>
      <w:tblGrid>
        <w:gridCol w:w="1114"/>
        <w:gridCol w:w="1123"/>
        <w:gridCol w:w="1085"/>
        <w:gridCol w:w="826"/>
        <w:gridCol w:w="1085"/>
        <w:gridCol w:w="830"/>
        <w:gridCol w:w="1046"/>
        <w:gridCol w:w="830"/>
        <w:gridCol w:w="912"/>
        <w:gridCol w:w="840"/>
      </w:tblGrid>
      <w:tr w:rsidR="007B3874">
        <w:tblPrEx>
          <w:tblCellMar>
            <w:top w:w="0" w:type="dxa"/>
            <w:bottom w:w="0" w:type="dxa"/>
          </w:tblCellMar>
        </w:tblPrEx>
        <w:trPr>
          <w:trHeight w:hRule="exact" w:val="293"/>
        </w:trPr>
        <w:tc>
          <w:tcPr>
            <w:tcW w:w="1114" w:type="dxa"/>
            <w:vMerge w:val="restart"/>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Період</w:t>
            </w:r>
          </w:p>
        </w:tc>
        <w:tc>
          <w:tcPr>
            <w:tcW w:w="1123" w:type="dxa"/>
            <w:vMerge w:val="restart"/>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Усього</w:t>
            </w:r>
          </w:p>
        </w:tc>
        <w:tc>
          <w:tcPr>
            <w:tcW w:w="1911" w:type="dxa"/>
            <w:gridSpan w:val="2"/>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на вимогу</w:t>
            </w:r>
          </w:p>
        </w:tc>
        <w:tc>
          <w:tcPr>
            <w:tcW w:w="1915" w:type="dxa"/>
            <w:gridSpan w:val="2"/>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до 1 року</w:t>
            </w:r>
          </w:p>
        </w:tc>
        <w:tc>
          <w:tcPr>
            <w:tcW w:w="1876" w:type="dxa"/>
            <w:gridSpan w:val="2"/>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від 1 до 2 років</w:t>
            </w:r>
          </w:p>
        </w:tc>
        <w:tc>
          <w:tcPr>
            <w:tcW w:w="1752" w:type="dxa"/>
            <w:gridSpan w:val="2"/>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більше 2 років</w:t>
            </w:r>
          </w:p>
        </w:tc>
      </w:tr>
      <w:tr w:rsidR="007B3874">
        <w:tblPrEx>
          <w:tblCellMar>
            <w:top w:w="0" w:type="dxa"/>
            <w:bottom w:w="0" w:type="dxa"/>
          </w:tblCellMar>
        </w:tblPrEx>
        <w:trPr>
          <w:trHeight w:hRule="exact" w:val="562"/>
        </w:trPr>
        <w:tc>
          <w:tcPr>
            <w:tcW w:w="1114" w:type="dxa"/>
            <w:vMerge/>
            <w:tcBorders>
              <w:left w:val="single" w:sz="4" w:space="0" w:color="auto"/>
            </w:tcBorders>
            <w:shd w:val="clear" w:color="auto" w:fill="FFFFFF"/>
          </w:tcPr>
          <w:p w:rsidR="007B3874" w:rsidRDefault="007B3874">
            <w:pPr>
              <w:framePr w:w="9691" w:h="2294" w:wrap="around" w:vAnchor="page" w:hAnchor="page" w:x="1122" w:y="3905"/>
            </w:pPr>
          </w:p>
        </w:tc>
        <w:tc>
          <w:tcPr>
            <w:tcW w:w="1123" w:type="dxa"/>
            <w:vMerge/>
            <w:tcBorders>
              <w:left w:val="single" w:sz="4" w:space="0" w:color="auto"/>
            </w:tcBorders>
            <w:shd w:val="clear" w:color="auto" w:fill="FFFFFF"/>
          </w:tcPr>
          <w:p w:rsidR="007B3874" w:rsidRDefault="007B3874">
            <w:pPr>
              <w:framePr w:w="9691" w:h="2294" w:wrap="around" w:vAnchor="page" w:hAnchor="page" w:x="1122" w:y="3905"/>
            </w:pP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22" w:y="3905"/>
              <w:shd w:val="clear" w:color="auto" w:fill="auto"/>
              <w:spacing w:before="120" w:after="0" w:line="210" w:lineRule="exact"/>
              <w:ind w:left="120"/>
              <w:jc w:val="left"/>
            </w:pPr>
            <w:r>
              <w:rPr>
                <w:rStyle w:val="ab"/>
              </w:rPr>
              <w:t>грн..</w:t>
            </w:r>
          </w:p>
        </w:tc>
        <w:tc>
          <w:tcPr>
            <w:tcW w:w="826" w:type="dxa"/>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w:t>
            </w: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22" w:y="3905"/>
              <w:shd w:val="clear" w:color="auto" w:fill="auto"/>
              <w:spacing w:before="120" w:after="0" w:line="210" w:lineRule="exact"/>
              <w:ind w:left="120"/>
              <w:jc w:val="left"/>
            </w:pPr>
            <w:r>
              <w:rPr>
                <w:rStyle w:val="ab"/>
              </w:rPr>
              <w:t>грн.</w:t>
            </w:r>
          </w:p>
        </w:tc>
        <w:tc>
          <w:tcPr>
            <w:tcW w:w="830" w:type="dxa"/>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w:t>
            </w:r>
          </w:p>
        </w:tc>
        <w:tc>
          <w:tcPr>
            <w:tcW w:w="104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22" w:y="3905"/>
              <w:shd w:val="clear" w:color="auto" w:fill="auto"/>
              <w:spacing w:before="120" w:after="0" w:line="210" w:lineRule="exact"/>
              <w:ind w:left="120"/>
              <w:jc w:val="left"/>
            </w:pPr>
            <w:r>
              <w:rPr>
                <w:rStyle w:val="ab"/>
              </w:rPr>
              <w:t>грн.</w:t>
            </w:r>
          </w:p>
        </w:tc>
        <w:tc>
          <w:tcPr>
            <w:tcW w:w="830" w:type="dxa"/>
            <w:tcBorders>
              <w:top w:val="single" w:sz="4" w:space="0" w:color="auto"/>
              <w:lef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120" w:line="210" w:lineRule="exact"/>
              <w:ind w:left="120"/>
              <w:jc w:val="left"/>
            </w:pPr>
            <w:r>
              <w:rPr>
                <w:rStyle w:val="ab"/>
              </w:rPr>
              <w:t>Млн.</w:t>
            </w:r>
          </w:p>
          <w:p w:rsidR="007B3874" w:rsidRDefault="0018067B">
            <w:pPr>
              <w:pStyle w:val="a5"/>
              <w:framePr w:w="9691" w:h="2294" w:wrap="around" w:vAnchor="page" w:hAnchor="page" w:x="1122" w:y="3905"/>
              <w:shd w:val="clear" w:color="auto" w:fill="auto"/>
              <w:spacing w:before="120" w:after="0" w:line="210" w:lineRule="exact"/>
              <w:ind w:left="120"/>
              <w:jc w:val="left"/>
            </w:pPr>
            <w:r>
              <w:rPr>
                <w:rStyle w:val="ab"/>
              </w:rPr>
              <w:t>грн.</w:t>
            </w:r>
          </w:p>
        </w:tc>
        <w:tc>
          <w:tcPr>
            <w:tcW w:w="840" w:type="dxa"/>
            <w:tcBorders>
              <w:top w:val="single" w:sz="4" w:space="0" w:color="auto"/>
              <w:left w:val="single" w:sz="4" w:space="0" w:color="auto"/>
              <w:right w:val="single" w:sz="4" w:space="0" w:color="auto"/>
            </w:tcBorders>
            <w:shd w:val="clear" w:color="auto" w:fill="FFFFFF"/>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w:t>
            </w:r>
          </w:p>
        </w:tc>
      </w:tr>
      <w:tr w:rsidR="007B3874">
        <w:tblPrEx>
          <w:tblCellMar>
            <w:top w:w="0" w:type="dxa"/>
            <w:bottom w:w="0" w:type="dxa"/>
          </w:tblCellMar>
        </w:tblPrEx>
        <w:trPr>
          <w:trHeight w:hRule="exact" w:val="288"/>
        </w:trPr>
        <w:tc>
          <w:tcPr>
            <w:tcW w:w="111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2009</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94796</w:t>
            </w: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55225</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58,3</w:t>
            </w: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22557</w:t>
            </w:r>
          </w:p>
        </w:tc>
        <w:tc>
          <w:tcPr>
            <w:tcW w:w="83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23,8</w:t>
            </w:r>
          </w:p>
        </w:tc>
        <w:tc>
          <w:tcPr>
            <w:tcW w:w="104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11205</w:t>
            </w:r>
          </w:p>
        </w:tc>
        <w:tc>
          <w:tcPr>
            <w:tcW w:w="83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11,8</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5810</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6,1</w:t>
            </w:r>
          </w:p>
        </w:tc>
      </w:tr>
      <w:tr w:rsidR="007B3874">
        <w:tblPrEx>
          <w:tblCellMar>
            <w:top w:w="0" w:type="dxa"/>
            <w:bottom w:w="0" w:type="dxa"/>
          </w:tblCellMar>
        </w:tblPrEx>
        <w:trPr>
          <w:trHeight w:hRule="exact" w:val="283"/>
        </w:trPr>
        <w:tc>
          <w:tcPr>
            <w:tcW w:w="111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2010</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116105</w:t>
            </w: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74871</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64,5</w:t>
            </w: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24221</w:t>
            </w:r>
          </w:p>
        </w:tc>
        <w:tc>
          <w:tcPr>
            <w:tcW w:w="83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20,9</w:t>
            </w:r>
          </w:p>
        </w:tc>
        <w:tc>
          <w:tcPr>
            <w:tcW w:w="104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11004</w:t>
            </w:r>
          </w:p>
        </w:tc>
        <w:tc>
          <w:tcPr>
            <w:tcW w:w="83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9,5</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6009</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5,2</w:t>
            </w:r>
          </w:p>
        </w:tc>
      </w:tr>
      <w:tr w:rsidR="007B3874">
        <w:tblPrEx>
          <w:tblCellMar>
            <w:top w:w="0" w:type="dxa"/>
            <w:bottom w:w="0" w:type="dxa"/>
          </w:tblCellMar>
        </w:tblPrEx>
        <w:trPr>
          <w:trHeight w:hRule="exact" w:val="288"/>
        </w:trPr>
        <w:tc>
          <w:tcPr>
            <w:tcW w:w="111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2011</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153120</w:t>
            </w: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93173</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60,8</w:t>
            </w: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38060</w:t>
            </w:r>
          </w:p>
        </w:tc>
        <w:tc>
          <w:tcPr>
            <w:tcW w:w="83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24,9</w:t>
            </w:r>
          </w:p>
        </w:tc>
        <w:tc>
          <w:tcPr>
            <w:tcW w:w="104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14952</w:t>
            </w:r>
          </w:p>
        </w:tc>
        <w:tc>
          <w:tcPr>
            <w:tcW w:w="83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9,8</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6935</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4,5</w:t>
            </w:r>
          </w:p>
        </w:tc>
      </w:tr>
      <w:tr w:rsidR="007B3874">
        <w:tblPrEx>
          <w:tblCellMar>
            <w:top w:w="0" w:type="dxa"/>
            <w:bottom w:w="0" w:type="dxa"/>
          </w:tblCellMar>
        </w:tblPrEx>
        <w:trPr>
          <w:trHeight w:hRule="exact" w:val="288"/>
        </w:trPr>
        <w:tc>
          <w:tcPr>
            <w:tcW w:w="1114"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2012</w:t>
            </w:r>
          </w:p>
        </w:tc>
        <w:tc>
          <w:tcPr>
            <w:tcW w:w="1123"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173319</w:t>
            </w: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95795</w:t>
            </w:r>
          </w:p>
        </w:tc>
        <w:tc>
          <w:tcPr>
            <w:tcW w:w="82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55,3</w:t>
            </w:r>
          </w:p>
        </w:tc>
        <w:tc>
          <w:tcPr>
            <w:tcW w:w="1085"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50137</w:t>
            </w:r>
          </w:p>
        </w:tc>
        <w:tc>
          <w:tcPr>
            <w:tcW w:w="83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28,9</w:t>
            </w:r>
          </w:p>
        </w:tc>
        <w:tc>
          <w:tcPr>
            <w:tcW w:w="1046"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20839</w:t>
            </w:r>
          </w:p>
        </w:tc>
        <w:tc>
          <w:tcPr>
            <w:tcW w:w="830"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12,0</w:t>
            </w:r>
          </w:p>
        </w:tc>
        <w:tc>
          <w:tcPr>
            <w:tcW w:w="912" w:type="dxa"/>
            <w:tcBorders>
              <w:top w:val="single" w:sz="4" w:space="0" w:color="auto"/>
              <w:lef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6547</w:t>
            </w:r>
          </w:p>
        </w:tc>
        <w:tc>
          <w:tcPr>
            <w:tcW w:w="840"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3,8</w:t>
            </w:r>
          </w:p>
        </w:tc>
      </w:tr>
      <w:tr w:rsidR="007B3874">
        <w:tblPrEx>
          <w:tblCellMar>
            <w:top w:w="0" w:type="dxa"/>
            <w:bottom w:w="0" w:type="dxa"/>
          </w:tblCellMar>
        </w:tblPrEx>
        <w:trPr>
          <w:trHeight w:hRule="exact" w:val="293"/>
        </w:trPr>
        <w:tc>
          <w:tcPr>
            <w:tcW w:w="1114"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2013</w:t>
            </w:r>
          </w:p>
        </w:tc>
        <w:tc>
          <w:tcPr>
            <w:tcW w:w="1123"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40"/>
              <w:jc w:val="left"/>
            </w:pPr>
            <w:r>
              <w:rPr>
                <w:rStyle w:val="ab"/>
              </w:rPr>
              <w:t>195160</w:t>
            </w:r>
          </w:p>
        </w:tc>
        <w:tc>
          <w:tcPr>
            <w:tcW w:w="1085"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106207</w:t>
            </w:r>
          </w:p>
        </w:tc>
        <w:tc>
          <w:tcPr>
            <w:tcW w:w="826"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54,4</w:t>
            </w:r>
          </w:p>
        </w:tc>
        <w:tc>
          <w:tcPr>
            <w:tcW w:w="1085"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55237</w:t>
            </w:r>
          </w:p>
        </w:tc>
        <w:tc>
          <w:tcPr>
            <w:tcW w:w="830"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28,3</w:t>
            </w:r>
          </w:p>
        </w:tc>
        <w:tc>
          <w:tcPr>
            <w:tcW w:w="1046"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25005</w:t>
            </w:r>
          </w:p>
        </w:tc>
        <w:tc>
          <w:tcPr>
            <w:tcW w:w="830"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12,8</w:t>
            </w:r>
          </w:p>
        </w:tc>
        <w:tc>
          <w:tcPr>
            <w:tcW w:w="912"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8711</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7B3874" w:rsidRDefault="0018067B">
            <w:pPr>
              <w:pStyle w:val="a5"/>
              <w:framePr w:w="9691" w:h="2294" w:wrap="around" w:vAnchor="page" w:hAnchor="page" w:x="1122" w:y="3905"/>
              <w:shd w:val="clear" w:color="auto" w:fill="auto"/>
              <w:spacing w:after="0" w:line="210" w:lineRule="exact"/>
              <w:ind w:left="120"/>
              <w:jc w:val="left"/>
            </w:pPr>
            <w:r>
              <w:rPr>
                <w:rStyle w:val="ab"/>
              </w:rPr>
              <w:t>4,5</w:t>
            </w:r>
          </w:p>
        </w:tc>
      </w:tr>
    </w:tbl>
    <w:p w:rsidR="007B3874" w:rsidRDefault="0018067B">
      <w:pPr>
        <w:pStyle w:val="23"/>
        <w:framePr w:wrap="around" w:vAnchor="page" w:hAnchor="page" w:x="1592" w:y="6219"/>
        <w:shd w:val="clear" w:color="auto" w:fill="auto"/>
        <w:spacing w:line="210" w:lineRule="exact"/>
      </w:pPr>
      <w:r>
        <w:t xml:space="preserve">* Джерело: Бюлетень Національного банку України. - 2014. - №2. С. </w:t>
      </w:r>
      <w:r>
        <w:t>124</w:t>
      </w:r>
    </w:p>
    <w:p w:rsidR="007B3874" w:rsidRDefault="0018067B">
      <w:pPr>
        <w:pStyle w:val="a5"/>
        <w:framePr w:w="9931" w:h="586" w:hRule="exact" w:wrap="around" w:vAnchor="page" w:hAnchor="page" w:x="1002" w:y="6625"/>
        <w:shd w:val="clear" w:color="auto" w:fill="auto"/>
        <w:spacing w:after="0" w:line="278" w:lineRule="exact"/>
        <w:ind w:left="20" w:right="20" w:firstLine="560"/>
        <w:jc w:val="both"/>
      </w:pPr>
      <w:r>
        <w:t>За 2013 рік вартість депозитів знизилася на 1,8 % - до 9,5% річних, у національній валюті - на 2,5 % - до 10,9% річних (табл. 8).</w:t>
      </w:r>
    </w:p>
    <w:p w:rsidR="007B3874" w:rsidRDefault="0018067B">
      <w:pPr>
        <w:pStyle w:val="a9"/>
        <w:framePr w:w="9782" w:h="1141" w:hRule="exact" w:wrap="around" w:vAnchor="page" w:hAnchor="page" w:x="1136" w:y="7397"/>
        <w:shd w:val="clear" w:color="auto" w:fill="auto"/>
        <w:spacing w:line="274" w:lineRule="exact"/>
        <w:jc w:val="right"/>
      </w:pPr>
      <w:r>
        <w:t>Таблиця 8</w:t>
      </w:r>
    </w:p>
    <w:p w:rsidR="007B3874" w:rsidRDefault="0018067B">
      <w:pPr>
        <w:pStyle w:val="a9"/>
        <w:framePr w:w="9782" w:h="1141" w:hRule="exact" w:wrap="around" w:vAnchor="page" w:hAnchor="page" w:x="1136" w:y="7397"/>
        <w:shd w:val="clear" w:color="auto" w:fill="auto"/>
        <w:spacing w:line="274" w:lineRule="exact"/>
        <w:ind w:left="80"/>
        <w:jc w:val="center"/>
      </w:pPr>
      <w:r>
        <w:t>Депозитні проценти за вкладами, які залучені банками у 2005-2013 роках на рахунки</w:t>
      </w:r>
    </w:p>
    <w:p w:rsidR="007B3874" w:rsidRDefault="0018067B">
      <w:pPr>
        <w:pStyle w:val="a9"/>
        <w:framePr w:w="9782" w:h="1141" w:hRule="exact" w:wrap="around" w:vAnchor="page" w:hAnchor="page" w:x="1136" w:y="7397"/>
        <w:shd w:val="clear" w:color="auto" w:fill="auto"/>
        <w:spacing w:line="274" w:lineRule="exact"/>
        <w:ind w:left="80"/>
        <w:jc w:val="center"/>
      </w:pPr>
      <w:r>
        <w:t>юридичних і фізичних осіб [12]</w:t>
      </w:r>
    </w:p>
    <w:p w:rsidR="007B3874" w:rsidRDefault="0018067B">
      <w:pPr>
        <w:pStyle w:val="23"/>
        <w:framePr w:w="9782" w:h="1141" w:hRule="exact" w:wrap="around" w:vAnchor="page" w:hAnchor="page" w:x="1136" w:y="7397"/>
        <w:shd w:val="clear" w:color="auto" w:fill="auto"/>
        <w:tabs>
          <w:tab w:val="left" w:leader="underscore" w:pos="1469"/>
          <w:tab w:val="left" w:leader="underscore" w:pos="3038"/>
          <w:tab w:val="left" w:leader="underscore" w:pos="4944"/>
          <w:tab w:val="left" w:leader="underscore" w:pos="6499"/>
        </w:tabs>
        <w:spacing w:line="274" w:lineRule="exact"/>
        <w:jc w:val="both"/>
      </w:pPr>
      <w:r>
        <w:tab/>
      </w:r>
      <w:r>
        <w:tab/>
      </w:r>
      <w:r>
        <w:tab/>
      </w:r>
      <w:r>
        <w:tab/>
        <w:t xml:space="preserve"> </w:t>
      </w:r>
      <w:r>
        <w:rPr>
          <w:rStyle w:val="24"/>
        </w:rPr>
        <w:t>(середні проценти за рік, %</w:t>
      </w:r>
      <w:r>
        <w:t>)</w:t>
      </w:r>
    </w:p>
    <w:tbl>
      <w:tblPr>
        <w:tblOverlap w:val="never"/>
        <w:tblW w:w="0" w:type="auto"/>
        <w:tblLayout w:type="fixed"/>
        <w:tblCellMar>
          <w:left w:w="10" w:type="dxa"/>
          <w:right w:w="10" w:type="dxa"/>
        </w:tblCellMar>
        <w:tblLook w:val="04A0"/>
      </w:tblPr>
      <w:tblGrid>
        <w:gridCol w:w="1488"/>
        <w:gridCol w:w="1570"/>
        <w:gridCol w:w="1906"/>
        <w:gridCol w:w="1555"/>
        <w:gridCol w:w="1512"/>
        <w:gridCol w:w="1661"/>
      </w:tblGrid>
      <w:tr w:rsidR="007B3874">
        <w:tblPrEx>
          <w:tblCellMar>
            <w:top w:w="0" w:type="dxa"/>
            <w:bottom w:w="0" w:type="dxa"/>
          </w:tblCellMar>
        </w:tblPrEx>
        <w:trPr>
          <w:trHeight w:hRule="exact" w:val="571"/>
        </w:trPr>
        <w:tc>
          <w:tcPr>
            <w:tcW w:w="1488" w:type="dxa"/>
            <w:tcBorders>
              <w:top w:val="single" w:sz="4" w:space="0" w:color="auto"/>
              <w:left w:val="single" w:sz="4" w:space="0" w:color="auto"/>
            </w:tcBorders>
            <w:shd w:val="clear" w:color="auto" w:fill="FFFFFF"/>
          </w:tcPr>
          <w:p w:rsidR="007B3874" w:rsidRDefault="0018067B">
            <w:pPr>
              <w:pStyle w:val="a5"/>
              <w:framePr w:w="9691" w:h="2011" w:wrap="around" w:vAnchor="page" w:hAnchor="page" w:x="1122" w:y="8489"/>
              <w:shd w:val="clear" w:color="auto" w:fill="auto"/>
              <w:spacing w:after="0" w:line="210" w:lineRule="exact"/>
            </w:pPr>
            <w:r>
              <w:rPr>
                <w:rStyle w:val="ab"/>
              </w:rPr>
              <w:t>Роки</w:t>
            </w:r>
          </w:p>
        </w:tc>
        <w:tc>
          <w:tcPr>
            <w:tcW w:w="1570" w:type="dxa"/>
            <w:tcBorders>
              <w:top w:val="single" w:sz="4" w:space="0" w:color="auto"/>
              <w:left w:val="single" w:sz="4" w:space="0" w:color="auto"/>
            </w:tcBorders>
            <w:shd w:val="clear" w:color="auto" w:fill="FFFFFF"/>
          </w:tcPr>
          <w:p w:rsidR="007B3874" w:rsidRDefault="0018067B">
            <w:pPr>
              <w:pStyle w:val="a5"/>
              <w:framePr w:w="9691" w:h="2011" w:wrap="around" w:vAnchor="page" w:hAnchor="page" w:x="1122" w:y="8489"/>
              <w:shd w:val="clear" w:color="auto" w:fill="auto"/>
              <w:spacing w:after="0" w:line="210" w:lineRule="exact"/>
            </w:pPr>
            <w:r>
              <w:rPr>
                <w:rStyle w:val="ab"/>
              </w:rPr>
              <w:t>процент, %</w:t>
            </w:r>
          </w:p>
        </w:tc>
        <w:tc>
          <w:tcPr>
            <w:tcW w:w="1906"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83" w:lineRule="exact"/>
            </w:pPr>
            <w:r>
              <w:rPr>
                <w:rStyle w:val="ab"/>
              </w:rPr>
              <w:t>у національній валюті</w:t>
            </w:r>
          </w:p>
        </w:tc>
        <w:tc>
          <w:tcPr>
            <w:tcW w:w="1555"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83" w:lineRule="exact"/>
            </w:pPr>
            <w:r>
              <w:rPr>
                <w:rStyle w:val="ab"/>
              </w:rPr>
              <w:t>в іноземній валюті</w:t>
            </w:r>
          </w:p>
        </w:tc>
        <w:tc>
          <w:tcPr>
            <w:tcW w:w="1512"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60" w:line="210" w:lineRule="exact"/>
            </w:pPr>
            <w:r>
              <w:rPr>
                <w:rStyle w:val="ab"/>
              </w:rPr>
              <w:t>юридичні</w:t>
            </w:r>
          </w:p>
          <w:p w:rsidR="007B3874" w:rsidRDefault="0018067B">
            <w:pPr>
              <w:pStyle w:val="a5"/>
              <w:framePr w:w="9691" w:h="2011" w:wrap="around" w:vAnchor="page" w:hAnchor="page" w:x="1122" w:y="8489"/>
              <w:shd w:val="clear" w:color="auto" w:fill="auto"/>
              <w:spacing w:before="60" w:after="0" w:line="210" w:lineRule="exact"/>
            </w:pPr>
            <w:r>
              <w:rPr>
                <w:rStyle w:val="ab"/>
              </w:rPr>
              <w:t>особи</w:t>
            </w:r>
          </w:p>
        </w:tc>
        <w:tc>
          <w:tcPr>
            <w:tcW w:w="1661" w:type="dxa"/>
            <w:tcBorders>
              <w:top w:val="single" w:sz="4" w:space="0" w:color="auto"/>
              <w:left w:val="single" w:sz="4" w:space="0" w:color="auto"/>
              <w:right w:val="single" w:sz="4" w:space="0" w:color="auto"/>
            </w:tcBorders>
            <w:shd w:val="clear" w:color="auto" w:fill="FFFFFF"/>
          </w:tcPr>
          <w:p w:rsidR="007B3874" w:rsidRDefault="0018067B">
            <w:pPr>
              <w:pStyle w:val="a5"/>
              <w:framePr w:w="9691" w:h="2011" w:wrap="around" w:vAnchor="page" w:hAnchor="page" w:x="1122" w:y="8489"/>
              <w:shd w:val="clear" w:color="auto" w:fill="auto"/>
              <w:spacing w:after="0" w:line="210" w:lineRule="exact"/>
            </w:pPr>
            <w:r>
              <w:rPr>
                <w:rStyle w:val="ab"/>
              </w:rPr>
              <w:t>фізичні особи</w:t>
            </w:r>
          </w:p>
        </w:tc>
      </w:tr>
      <w:tr w:rsidR="007B3874">
        <w:tblPrEx>
          <w:tblCellMar>
            <w:top w:w="0" w:type="dxa"/>
            <w:bottom w:w="0" w:type="dxa"/>
          </w:tblCellMar>
        </w:tblPrEx>
        <w:trPr>
          <w:trHeight w:hRule="exact" w:val="288"/>
        </w:trPr>
        <w:tc>
          <w:tcPr>
            <w:tcW w:w="1488"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2009 рік</w:t>
            </w:r>
          </w:p>
        </w:tc>
        <w:tc>
          <w:tcPr>
            <w:tcW w:w="1570"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11,8</w:t>
            </w:r>
          </w:p>
        </w:tc>
        <w:tc>
          <w:tcPr>
            <w:tcW w:w="1906"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14,0</w:t>
            </w:r>
          </w:p>
        </w:tc>
        <w:tc>
          <w:tcPr>
            <w:tcW w:w="1555"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9,2</w:t>
            </w:r>
          </w:p>
        </w:tc>
        <w:tc>
          <w:tcPr>
            <w:tcW w:w="1512"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11,5</w:t>
            </w:r>
          </w:p>
        </w:tc>
        <w:tc>
          <w:tcPr>
            <w:tcW w:w="1661"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12,2</w:t>
            </w:r>
          </w:p>
        </w:tc>
      </w:tr>
      <w:tr w:rsidR="007B3874">
        <w:tblPrEx>
          <w:tblCellMar>
            <w:top w:w="0" w:type="dxa"/>
            <w:bottom w:w="0" w:type="dxa"/>
          </w:tblCellMar>
        </w:tblPrEx>
        <w:trPr>
          <w:trHeight w:hRule="exact" w:val="288"/>
        </w:trPr>
        <w:tc>
          <w:tcPr>
            <w:tcW w:w="1488"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2010 рік</w:t>
            </w:r>
          </w:p>
        </w:tc>
        <w:tc>
          <w:tcPr>
            <w:tcW w:w="1570"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9,4</w:t>
            </w:r>
          </w:p>
        </w:tc>
        <w:tc>
          <w:tcPr>
            <w:tcW w:w="1906"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10,3</w:t>
            </w:r>
          </w:p>
        </w:tc>
        <w:tc>
          <w:tcPr>
            <w:tcW w:w="1555"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7,9</w:t>
            </w:r>
          </w:p>
        </w:tc>
        <w:tc>
          <w:tcPr>
            <w:tcW w:w="1512"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7,0</w:t>
            </w:r>
          </w:p>
        </w:tc>
        <w:tc>
          <w:tcPr>
            <w:tcW w:w="1661"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11,4</w:t>
            </w:r>
          </w:p>
        </w:tc>
      </w:tr>
      <w:tr w:rsidR="007B3874">
        <w:tblPrEx>
          <w:tblCellMar>
            <w:top w:w="0" w:type="dxa"/>
            <w:bottom w:w="0" w:type="dxa"/>
          </w:tblCellMar>
        </w:tblPrEx>
        <w:trPr>
          <w:trHeight w:hRule="exact" w:val="283"/>
        </w:trPr>
        <w:tc>
          <w:tcPr>
            <w:tcW w:w="1488"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2011 рік</w:t>
            </w:r>
          </w:p>
        </w:tc>
        <w:tc>
          <w:tcPr>
            <w:tcW w:w="1570"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7,3</w:t>
            </w:r>
          </w:p>
        </w:tc>
        <w:tc>
          <w:tcPr>
            <w:tcW w:w="1906"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8,1</w:t>
            </w:r>
          </w:p>
        </w:tc>
        <w:tc>
          <w:tcPr>
            <w:tcW w:w="1555"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5,5</w:t>
            </w:r>
          </w:p>
        </w:tc>
        <w:tc>
          <w:tcPr>
            <w:tcW w:w="1512"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5,8</w:t>
            </w:r>
          </w:p>
        </w:tc>
        <w:tc>
          <w:tcPr>
            <w:tcW w:w="1661"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9,1</w:t>
            </w:r>
          </w:p>
        </w:tc>
      </w:tr>
      <w:tr w:rsidR="007B3874">
        <w:tblPrEx>
          <w:tblCellMar>
            <w:top w:w="0" w:type="dxa"/>
            <w:bottom w:w="0" w:type="dxa"/>
          </w:tblCellMar>
        </w:tblPrEx>
        <w:trPr>
          <w:trHeight w:hRule="exact" w:val="288"/>
        </w:trPr>
        <w:tc>
          <w:tcPr>
            <w:tcW w:w="1488"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2012 рік</w:t>
            </w:r>
          </w:p>
        </w:tc>
        <w:tc>
          <w:tcPr>
            <w:tcW w:w="1570"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11,3</w:t>
            </w:r>
          </w:p>
        </w:tc>
        <w:tc>
          <w:tcPr>
            <w:tcW w:w="1906"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13,4</w:t>
            </w:r>
          </w:p>
        </w:tc>
        <w:tc>
          <w:tcPr>
            <w:tcW w:w="1555"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5,7</w:t>
            </w:r>
          </w:p>
        </w:tc>
        <w:tc>
          <w:tcPr>
            <w:tcW w:w="1512" w:type="dxa"/>
            <w:tcBorders>
              <w:top w:val="single" w:sz="4" w:space="0" w:color="auto"/>
              <w:lef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10,5</w:t>
            </w:r>
          </w:p>
        </w:tc>
        <w:tc>
          <w:tcPr>
            <w:tcW w:w="1661"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11,9</w:t>
            </w:r>
          </w:p>
        </w:tc>
      </w:tr>
      <w:tr w:rsidR="007B3874">
        <w:tblPrEx>
          <w:tblCellMar>
            <w:top w:w="0" w:type="dxa"/>
            <w:bottom w:w="0" w:type="dxa"/>
          </w:tblCellMar>
        </w:tblPrEx>
        <w:trPr>
          <w:trHeight w:hRule="exact" w:val="293"/>
        </w:trPr>
        <w:tc>
          <w:tcPr>
            <w:tcW w:w="1488"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2013</w:t>
            </w:r>
            <w:r>
              <w:rPr>
                <w:rStyle w:val="ab"/>
              </w:rPr>
              <w:t xml:space="preserve"> рік</w:t>
            </w:r>
          </w:p>
        </w:tc>
        <w:tc>
          <w:tcPr>
            <w:tcW w:w="1570"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9,5</w:t>
            </w:r>
          </w:p>
        </w:tc>
        <w:tc>
          <w:tcPr>
            <w:tcW w:w="1906"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10,9</w:t>
            </w:r>
          </w:p>
        </w:tc>
        <w:tc>
          <w:tcPr>
            <w:tcW w:w="1555"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5,9</w:t>
            </w:r>
          </w:p>
        </w:tc>
        <w:tc>
          <w:tcPr>
            <w:tcW w:w="1512" w:type="dxa"/>
            <w:tcBorders>
              <w:top w:val="single" w:sz="4" w:space="0" w:color="auto"/>
              <w:left w:val="single" w:sz="4" w:space="0" w:color="auto"/>
              <w:bottom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6,7</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7B3874" w:rsidRDefault="0018067B">
            <w:pPr>
              <w:pStyle w:val="a5"/>
              <w:framePr w:w="9691" w:h="2011" w:wrap="around" w:vAnchor="page" w:hAnchor="page" w:x="1122" w:y="8489"/>
              <w:shd w:val="clear" w:color="auto" w:fill="auto"/>
              <w:spacing w:after="0" w:line="210" w:lineRule="exact"/>
            </w:pPr>
            <w:r>
              <w:rPr>
                <w:rStyle w:val="ab"/>
              </w:rPr>
              <w:t>12,5</w:t>
            </w:r>
          </w:p>
        </w:tc>
      </w:tr>
    </w:tbl>
    <w:p w:rsidR="007B3874" w:rsidRDefault="0018067B">
      <w:pPr>
        <w:pStyle w:val="a5"/>
        <w:framePr w:w="9931" w:h="4191" w:hRule="exact" w:wrap="around" w:vAnchor="page" w:hAnchor="page" w:x="1002" w:y="10747"/>
        <w:shd w:val="clear" w:color="auto" w:fill="auto"/>
        <w:spacing w:after="0"/>
        <w:ind w:left="20" w:right="20" w:firstLine="560"/>
        <w:jc w:val="both"/>
      </w:pPr>
      <w:r>
        <w:t xml:space="preserve">Зміну ціни депозитів юридичних і фізичних осіб загалом насамперед характеризувала динаміка відсоткових ставок у секторі юридичних осіб. У 2013 році середня відсоткова ставка за депозитами юридичних осіб зменшилася на 3,8% - з </w:t>
      </w:r>
      <w:r>
        <w:t>10,5% у 2012 році до 6,7% протягом 2013 року (див. табл. 8) [5, с. 55].</w:t>
      </w:r>
    </w:p>
    <w:p w:rsidR="007B3874" w:rsidRDefault="0018067B">
      <w:pPr>
        <w:pStyle w:val="a5"/>
        <w:framePr w:w="9931" w:h="4191" w:hRule="exact" w:wrap="around" w:vAnchor="page" w:hAnchor="page" w:x="1002" w:y="10747"/>
        <w:shd w:val="clear" w:color="auto" w:fill="auto"/>
        <w:spacing w:after="0"/>
        <w:ind w:left="20" w:right="20" w:firstLine="560"/>
        <w:jc w:val="both"/>
      </w:pPr>
      <w:r>
        <w:t xml:space="preserve">Ціна вкладів сектору фізичних осіб в середньому на протязі 2013 року навпаки зросла на 0,6% - з 11,9% у 2012 році до 12,5% у 2013 році за рахунок подорожчання депозитів у національній </w:t>
      </w:r>
      <w:r>
        <w:t>валюті на 0,2% (див. табл. 2.8).</w:t>
      </w:r>
    </w:p>
    <w:p w:rsidR="007B3874" w:rsidRDefault="0018067B">
      <w:pPr>
        <w:pStyle w:val="a5"/>
        <w:framePr w:w="9931" w:h="4191" w:hRule="exact" w:wrap="around" w:vAnchor="page" w:hAnchor="page" w:x="1002" w:y="10747"/>
        <w:shd w:val="clear" w:color="auto" w:fill="auto"/>
        <w:spacing w:after="0"/>
        <w:ind w:left="20" w:right="20" w:firstLine="560"/>
        <w:jc w:val="both"/>
      </w:pPr>
      <w:r>
        <w:t>У табл. 9 наведено дані аналізу співвідношення депозитів резидентів, залучених депозитними корпораціями, та кредитів, наданих депозитними корпораціями резидентам, у розрізі строків погашення.</w:t>
      </w:r>
    </w:p>
    <w:p w:rsidR="007B3874" w:rsidRDefault="0018067B">
      <w:pPr>
        <w:pStyle w:val="a5"/>
        <w:framePr w:w="9931" w:h="4191" w:hRule="exact" w:wrap="around" w:vAnchor="page" w:hAnchor="page" w:x="1002" w:y="10747"/>
        <w:shd w:val="clear" w:color="auto" w:fill="auto"/>
        <w:tabs>
          <w:tab w:val="left" w:pos="8126"/>
        </w:tabs>
        <w:spacing w:after="0"/>
        <w:ind w:left="20" w:firstLine="560"/>
        <w:jc w:val="both"/>
      </w:pPr>
      <w:r>
        <w:t>Порівнюючи темпи приросту креди</w:t>
      </w:r>
      <w:r>
        <w:t>тів і депозитів (див. табл.</w:t>
      </w:r>
      <w:r>
        <w:tab/>
        <w:t>9) доволі чітко</w:t>
      </w:r>
    </w:p>
    <w:p w:rsidR="007B3874" w:rsidRDefault="0018067B">
      <w:pPr>
        <w:pStyle w:val="a5"/>
        <w:framePr w:w="9931" w:h="4191" w:hRule="exact" w:wrap="around" w:vAnchor="page" w:hAnchor="page" w:x="1002" w:y="10747"/>
        <w:shd w:val="clear" w:color="auto" w:fill="auto"/>
        <w:spacing w:after="0"/>
        <w:ind w:left="20" w:right="20"/>
        <w:jc w:val="both"/>
      </w:pPr>
      <w:r>
        <w:t xml:space="preserve">простежується випереджання темпів зростання депозитів над темпами зростання кредитів в. Так, протягом 2009-2013 років депозити зросли в 2,0 </w:t>
      </w:r>
      <w:r>
        <w:rPr>
          <w:lang w:val="ru-RU" w:eastAsia="ru-RU" w:bidi="ru-RU"/>
        </w:rPr>
        <w:t xml:space="preserve">раза, </w:t>
      </w:r>
      <w:r>
        <w:t xml:space="preserve">а кредити - в 1,3 </w:t>
      </w:r>
      <w:r>
        <w:rPr>
          <w:lang w:val="ru-RU" w:eastAsia="ru-RU" w:bidi="ru-RU"/>
        </w:rPr>
        <w:t xml:space="preserve">раза, </w:t>
      </w:r>
      <w:r>
        <w:t>в тому числі депозити на вимогу і до 1 рок</w:t>
      </w:r>
      <w:r>
        <w:t xml:space="preserve">у зросли в 1,55 </w:t>
      </w:r>
      <w:r>
        <w:rPr>
          <w:lang w:val="ru-RU" w:eastAsia="ru-RU" w:bidi="ru-RU"/>
        </w:rPr>
        <w:t xml:space="preserve">раза, </w:t>
      </w:r>
      <w:r>
        <w:t xml:space="preserve">а кредити до 1 року в 1,85 </w:t>
      </w:r>
      <w:r>
        <w:rPr>
          <w:lang w:val="ru-RU" w:eastAsia="ru-RU" w:bidi="ru-RU"/>
        </w:rPr>
        <w:t xml:space="preserve">раза, </w:t>
      </w:r>
      <w:r>
        <w:t>депозити більше 1 року збільшилися в 3,45 раза, а кредити більше 1 року зменшилися на - 1,55 %.</w:t>
      </w:r>
    </w:p>
    <w:p w:rsidR="007B3874" w:rsidRDefault="0018067B">
      <w:pPr>
        <w:pStyle w:val="a7"/>
        <w:framePr w:wrap="around" w:vAnchor="page" w:hAnchor="page" w:x="982" w:y="15615"/>
        <w:shd w:val="clear" w:color="auto" w:fill="auto"/>
        <w:spacing w:line="170" w:lineRule="exact"/>
        <w:ind w:left="20"/>
      </w:pPr>
      <w:r>
        <w:rPr>
          <w:lang w:val="en-US" w:eastAsia="en-US" w:bidi="en-US"/>
        </w:rPr>
        <w:t xml:space="preserve">ISSN </w:t>
      </w:r>
      <w:r>
        <w:t>1818-2682. Наука молода, 2014 рік. № 21</w:t>
      </w:r>
    </w:p>
    <w:p w:rsidR="007B3874" w:rsidRDefault="0018067B">
      <w:pPr>
        <w:pStyle w:val="a7"/>
        <w:framePr w:wrap="around" w:vAnchor="page" w:hAnchor="page" w:x="10602" w:y="15620"/>
        <w:shd w:val="clear" w:color="auto" w:fill="auto"/>
        <w:spacing w:line="170" w:lineRule="exact"/>
        <w:ind w:left="20"/>
      </w:pPr>
      <w:r>
        <w:t>289</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a9"/>
        <w:framePr w:w="9850" w:h="552" w:hRule="exact" w:wrap="around" w:vAnchor="page" w:hAnchor="page" w:x="1066" w:y="1270"/>
        <w:shd w:val="clear" w:color="auto" w:fill="auto"/>
        <w:spacing w:after="13" w:line="210" w:lineRule="exact"/>
        <w:ind w:right="40"/>
        <w:jc w:val="right"/>
      </w:pPr>
      <w:r>
        <w:lastRenderedPageBreak/>
        <w:t>Таблиця 9</w:t>
      </w:r>
    </w:p>
    <w:p w:rsidR="007B3874" w:rsidRDefault="0018067B">
      <w:pPr>
        <w:pStyle w:val="a9"/>
        <w:framePr w:w="9850" w:h="552" w:hRule="exact" w:wrap="around" w:vAnchor="page" w:hAnchor="page" w:x="1066" w:y="1270"/>
        <w:shd w:val="clear" w:color="auto" w:fill="auto"/>
        <w:spacing w:line="210" w:lineRule="exact"/>
        <w:ind w:right="40"/>
        <w:jc w:val="right"/>
      </w:pPr>
      <w:r>
        <w:t xml:space="preserve">Депозити резидентів, </w:t>
      </w:r>
      <w:r>
        <w:t>залучені депозитними корпораціями, і кредити, надані депозитними</w:t>
      </w:r>
    </w:p>
    <w:p w:rsidR="007B3874" w:rsidRDefault="0018067B">
      <w:pPr>
        <w:pStyle w:val="a9"/>
        <w:framePr w:w="8693" w:h="547" w:hRule="exact" w:wrap="around" w:vAnchor="page" w:hAnchor="page" w:x="2190" w:y="1822"/>
        <w:shd w:val="clear" w:color="auto" w:fill="auto"/>
        <w:spacing w:after="18" w:line="210" w:lineRule="exact"/>
        <w:ind w:left="20"/>
        <w:jc w:val="both"/>
      </w:pPr>
      <w:r>
        <w:t>корпораціями резидентам, у розрізі строків погашення [5, с. 120, 138]</w:t>
      </w:r>
    </w:p>
    <w:p w:rsidR="007B3874" w:rsidRDefault="0018067B">
      <w:pPr>
        <w:pStyle w:val="23"/>
        <w:framePr w:w="8693" w:h="547" w:hRule="exact" w:wrap="around" w:vAnchor="page" w:hAnchor="page" w:x="2190" w:y="1822"/>
        <w:shd w:val="clear" w:color="auto" w:fill="auto"/>
        <w:tabs>
          <w:tab w:val="left" w:leader="underscore" w:pos="7681"/>
        </w:tabs>
        <w:spacing w:line="210" w:lineRule="exact"/>
        <w:ind w:left="20"/>
        <w:jc w:val="both"/>
      </w:pPr>
      <w:r>
        <w:tab/>
      </w:r>
      <w:r>
        <w:rPr>
          <w:rStyle w:val="24"/>
        </w:rPr>
        <w:t>(млн. грн.)</w:t>
      </w:r>
    </w:p>
    <w:tbl>
      <w:tblPr>
        <w:tblOverlap w:val="never"/>
        <w:tblW w:w="0" w:type="auto"/>
        <w:tblLayout w:type="fixed"/>
        <w:tblCellMar>
          <w:left w:w="10" w:type="dxa"/>
          <w:right w:w="10" w:type="dxa"/>
        </w:tblCellMar>
        <w:tblLook w:val="04A0"/>
      </w:tblPr>
      <w:tblGrid>
        <w:gridCol w:w="1104"/>
        <w:gridCol w:w="1416"/>
        <w:gridCol w:w="1421"/>
        <w:gridCol w:w="1694"/>
        <w:gridCol w:w="1406"/>
        <w:gridCol w:w="1406"/>
        <w:gridCol w:w="1421"/>
      </w:tblGrid>
      <w:tr w:rsidR="007B3874">
        <w:tblPrEx>
          <w:tblCellMar>
            <w:top w:w="0" w:type="dxa"/>
            <w:bottom w:w="0" w:type="dxa"/>
          </w:tblCellMar>
        </w:tblPrEx>
        <w:trPr>
          <w:trHeight w:hRule="exact" w:val="288"/>
        </w:trPr>
        <w:tc>
          <w:tcPr>
            <w:tcW w:w="1104" w:type="dxa"/>
            <w:vMerge w:val="restart"/>
            <w:tcBorders>
              <w:top w:val="single" w:sz="4" w:space="0" w:color="auto"/>
              <w:left w:val="single" w:sz="4" w:space="0" w:color="auto"/>
            </w:tcBorders>
            <w:shd w:val="clear" w:color="auto" w:fill="FFFFFF"/>
          </w:tcPr>
          <w:p w:rsidR="007B3874" w:rsidRDefault="0018067B">
            <w:pPr>
              <w:pStyle w:val="a5"/>
              <w:framePr w:w="9869" w:h="2280" w:wrap="around" w:vAnchor="page" w:hAnchor="page" w:x="1033" w:y="2345"/>
              <w:shd w:val="clear" w:color="auto" w:fill="auto"/>
              <w:spacing w:after="0" w:line="210" w:lineRule="exact"/>
            </w:pPr>
            <w:r>
              <w:rPr>
                <w:rStyle w:val="ab"/>
              </w:rPr>
              <w:t>Період</w:t>
            </w:r>
          </w:p>
        </w:tc>
        <w:tc>
          <w:tcPr>
            <w:tcW w:w="2837" w:type="dxa"/>
            <w:gridSpan w:val="2"/>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Усього</w:t>
            </w:r>
          </w:p>
        </w:tc>
        <w:tc>
          <w:tcPr>
            <w:tcW w:w="1694" w:type="dxa"/>
            <w:vMerge w:val="restart"/>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78" w:lineRule="exact"/>
            </w:pPr>
            <w:r>
              <w:rPr>
                <w:rStyle w:val="ab"/>
              </w:rPr>
              <w:t>депозити на вимогу і до 1 року</w:t>
            </w:r>
          </w:p>
        </w:tc>
        <w:tc>
          <w:tcPr>
            <w:tcW w:w="1406" w:type="dxa"/>
            <w:vMerge w:val="restart"/>
            <w:tcBorders>
              <w:top w:val="single" w:sz="4" w:space="0" w:color="auto"/>
              <w:left w:val="single" w:sz="4" w:space="0" w:color="auto"/>
            </w:tcBorders>
            <w:shd w:val="clear" w:color="auto" w:fill="FFFFFF"/>
          </w:tcPr>
          <w:p w:rsidR="007B3874" w:rsidRDefault="0018067B">
            <w:pPr>
              <w:pStyle w:val="a5"/>
              <w:framePr w:w="9869" w:h="2280" w:wrap="around" w:vAnchor="page" w:hAnchor="page" w:x="1033" w:y="2345"/>
              <w:shd w:val="clear" w:color="auto" w:fill="auto"/>
              <w:spacing w:after="0"/>
            </w:pPr>
            <w:r>
              <w:rPr>
                <w:rStyle w:val="ab"/>
              </w:rPr>
              <w:t>кредити до 1 року</w:t>
            </w:r>
          </w:p>
        </w:tc>
        <w:tc>
          <w:tcPr>
            <w:tcW w:w="2827" w:type="dxa"/>
            <w:gridSpan w:val="2"/>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більше 1 року</w:t>
            </w:r>
          </w:p>
        </w:tc>
      </w:tr>
      <w:tr w:rsidR="007B3874">
        <w:tblPrEx>
          <w:tblCellMar>
            <w:top w:w="0" w:type="dxa"/>
            <w:bottom w:w="0" w:type="dxa"/>
          </w:tblCellMar>
        </w:tblPrEx>
        <w:trPr>
          <w:trHeight w:hRule="exact" w:val="552"/>
        </w:trPr>
        <w:tc>
          <w:tcPr>
            <w:tcW w:w="1104" w:type="dxa"/>
            <w:vMerge/>
            <w:tcBorders>
              <w:left w:val="single" w:sz="4" w:space="0" w:color="auto"/>
            </w:tcBorders>
            <w:shd w:val="clear" w:color="auto" w:fill="FFFFFF"/>
          </w:tcPr>
          <w:p w:rsidR="007B3874" w:rsidRDefault="007B3874">
            <w:pPr>
              <w:framePr w:w="9869" w:h="2280" w:wrap="around" w:vAnchor="page" w:hAnchor="page" w:x="1033" w:y="2345"/>
            </w:pPr>
          </w:p>
        </w:tc>
        <w:tc>
          <w:tcPr>
            <w:tcW w:w="1416" w:type="dxa"/>
            <w:tcBorders>
              <w:top w:val="single" w:sz="4" w:space="0" w:color="auto"/>
              <w:left w:val="single" w:sz="4" w:space="0" w:color="auto"/>
            </w:tcBorders>
            <w:shd w:val="clear" w:color="auto" w:fill="FFFFFF"/>
            <w:vAlign w:val="center"/>
          </w:tcPr>
          <w:p w:rsidR="007B3874" w:rsidRDefault="0018067B">
            <w:pPr>
              <w:pStyle w:val="a5"/>
              <w:framePr w:w="9869" w:h="2280" w:wrap="around" w:vAnchor="page" w:hAnchor="page" w:x="1033" w:y="2345"/>
              <w:shd w:val="clear" w:color="auto" w:fill="auto"/>
              <w:spacing w:after="0" w:line="210" w:lineRule="exact"/>
            </w:pPr>
            <w:r>
              <w:rPr>
                <w:rStyle w:val="ab"/>
              </w:rPr>
              <w:t>депозити</w:t>
            </w:r>
          </w:p>
        </w:tc>
        <w:tc>
          <w:tcPr>
            <w:tcW w:w="1421" w:type="dxa"/>
            <w:tcBorders>
              <w:top w:val="single" w:sz="4" w:space="0" w:color="auto"/>
              <w:left w:val="single" w:sz="4" w:space="0" w:color="auto"/>
            </w:tcBorders>
            <w:shd w:val="clear" w:color="auto" w:fill="FFFFFF"/>
            <w:vAlign w:val="center"/>
          </w:tcPr>
          <w:p w:rsidR="007B3874" w:rsidRDefault="0018067B">
            <w:pPr>
              <w:pStyle w:val="a5"/>
              <w:framePr w:w="9869" w:h="2280" w:wrap="around" w:vAnchor="page" w:hAnchor="page" w:x="1033" w:y="2345"/>
              <w:shd w:val="clear" w:color="auto" w:fill="auto"/>
              <w:spacing w:after="0" w:line="210" w:lineRule="exact"/>
            </w:pPr>
            <w:r>
              <w:rPr>
                <w:rStyle w:val="ab"/>
              </w:rPr>
              <w:t>кредити</w:t>
            </w:r>
          </w:p>
        </w:tc>
        <w:tc>
          <w:tcPr>
            <w:tcW w:w="1694" w:type="dxa"/>
            <w:vMerge/>
            <w:tcBorders>
              <w:left w:val="single" w:sz="4" w:space="0" w:color="auto"/>
            </w:tcBorders>
            <w:shd w:val="clear" w:color="auto" w:fill="FFFFFF"/>
            <w:vAlign w:val="bottom"/>
          </w:tcPr>
          <w:p w:rsidR="007B3874" w:rsidRDefault="007B3874">
            <w:pPr>
              <w:framePr w:w="9869" w:h="2280" w:wrap="around" w:vAnchor="page" w:hAnchor="page" w:x="1033" w:y="2345"/>
            </w:pPr>
          </w:p>
        </w:tc>
        <w:tc>
          <w:tcPr>
            <w:tcW w:w="1406" w:type="dxa"/>
            <w:vMerge/>
            <w:tcBorders>
              <w:left w:val="single" w:sz="4" w:space="0" w:color="auto"/>
            </w:tcBorders>
            <w:shd w:val="clear" w:color="auto" w:fill="FFFFFF"/>
          </w:tcPr>
          <w:p w:rsidR="007B3874" w:rsidRDefault="007B3874">
            <w:pPr>
              <w:framePr w:w="9869" w:h="2280" w:wrap="around" w:vAnchor="page" w:hAnchor="page" w:x="1033" w:y="2345"/>
            </w:pPr>
          </w:p>
        </w:tc>
        <w:tc>
          <w:tcPr>
            <w:tcW w:w="1406" w:type="dxa"/>
            <w:tcBorders>
              <w:top w:val="single" w:sz="4" w:space="0" w:color="auto"/>
              <w:left w:val="single" w:sz="4" w:space="0" w:color="auto"/>
            </w:tcBorders>
            <w:shd w:val="clear" w:color="auto" w:fill="FFFFFF"/>
            <w:vAlign w:val="center"/>
          </w:tcPr>
          <w:p w:rsidR="007B3874" w:rsidRDefault="0018067B">
            <w:pPr>
              <w:pStyle w:val="a5"/>
              <w:framePr w:w="9869" w:h="2280" w:wrap="around" w:vAnchor="page" w:hAnchor="page" w:x="1033" w:y="2345"/>
              <w:shd w:val="clear" w:color="auto" w:fill="auto"/>
              <w:spacing w:after="0" w:line="210" w:lineRule="exact"/>
            </w:pPr>
            <w:r>
              <w:rPr>
                <w:rStyle w:val="ab"/>
              </w:rPr>
              <w:t>депозити</w:t>
            </w:r>
          </w:p>
        </w:tc>
        <w:tc>
          <w:tcPr>
            <w:tcW w:w="1421" w:type="dxa"/>
            <w:tcBorders>
              <w:top w:val="single" w:sz="4" w:space="0" w:color="auto"/>
              <w:left w:val="single" w:sz="4" w:space="0" w:color="auto"/>
              <w:right w:val="single" w:sz="4" w:space="0" w:color="auto"/>
            </w:tcBorders>
            <w:shd w:val="clear" w:color="auto" w:fill="FFFFFF"/>
            <w:vAlign w:val="center"/>
          </w:tcPr>
          <w:p w:rsidR="007B3874" w:rsidRDefault="0018067B">
            <w:pPr>
              <w:pStyle w:val="a5"/>
              <w:framePr w:w="9869" w:h="2280" w:wrap="around" w:vAnchor="page" w:hAnchor="page" w:x="1033" w:y="2345"/>
              <w:shd w:val="clear" w:color="auto" w:fill="auto"/>
              <w:spacing w:after="0" w:line="210" w:lineRule="exact"/>
            </w:pPr>
            <w:r>
              <w:rPr>
                <w:rStyle w:val="ab"/>
              </w:rPr>
              <w:t>кредити</w:t>
            </w:r>
          </w:p>
        </w:tc>
      </w:tr>
      <w:tr w:rsidR="007B3874">
        <w:tblPrEx>
          <w:tblCellMar>
            <w:top w:w="0" w:type="dxa"/>
            <w:bottom w:w="0" w:type="dxa"/>
          </w:tblCellMar>
        </w:tblPrEx>
        <w:trPr>
          <w:trHeight w:hRule="exact" w:val="288"/>
        </w:trPr>
        <w:tc>
          <w:tcPr>
            <w:tcW w:w="1104"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2009</w:t>
            </w:r>
          </w:p>
        </w:tc>
        <w:tc>
          <w:tcPr>
            <w:tcW w:w="141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334953</w:t>
            </w:r>
          </w:p>
        </w:tc>
        <w:tc>
          <w:tcPr>
            <w:tcW w:w="1421"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723295</w:t>
            </w:r>
          </w:p>
        </w:tc>
        <w:tc>
          <w:tcPr>
            <w:tcW w:w="1694"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255150</w:t>
            </w:r>
          </w:p>
        </w:tc>
        <w:tc>
          <w:tcPr>
            <w:tcW w:w="140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230974</w:t>
            </w:r>
          </w:p>
        </w:tc>
        <w:tc>
          <w:tcPr>
            <w:tcW w:w="140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79803</w:t>
            </w:r>
          </w:p>
        </w:tc>
        <w:tc>
          <w:tcPr>
            <w:tcW w:w="1421"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492322</w:t>
            </w:r>
          </w:p>
        </w:tc>
      </w:tr>
      <w:tr w:rsidR="007B3874">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2010</w:t>
            </w:r>
          </w:p>
        </w:tc>
        <w:tc>
          <w:tcPr>
            <w:tcW w:w="141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416650</w:t>
            </w:r>
          </w:p>
        </w:tc>
        <w:tc>
          <w:tcPr>
            <w:tcW w:w="1421"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732823</w:t>
            </w:r>
          </w:p>
        </w:tc>
        <w:tc>
          <w:tcPr>
            <w:tcW w:w="1694"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285976</w:t>
            </w:r>
          </w:p>
        </w:tc>
        <w:tc>
          <w:tcPr>
            <w:tcW w:w="140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242772</w:t>
            </w:r>
          </w:p>
        </w:tc>
        <w:tc>
          <w:tcPr>
            <w:tcW w:w="140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130674</w:t>
            </w:r>
          </w:p>
        </w:tc>
        <w:tc>
          <w:tcPr>
            <w:tcW w:w="1421"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490051</w:t>
            </w:r>
          </w:p>
        </w:tc>
      </w:tr>
      <w:tr w:rsidR="007B3874">
        <w:tblPrEx>
          <w:tblCellMar>
            <w:top w:w="0" w:type="dxa"/>
            <w:bottom w:w="0" w:type="dxa"/>
          </w:tblCellMar>
        </w:tblPrEx>
        <w:trPr>
          <w:trHeight w:hRule="exact" w:val="288"/>
        </w:trPr>
        <w:tc>
          <w:tcPr>
            <w:tcW w:w="1104"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2011</w:t>
            </w:r>
          </w:p>
        </w:tc>
        <w:tc>
          <w:tcPr>
            <w:tcW w:w="141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491650</w:t>
            </w:r>
          </w:p>
        </w:tc>
        <w:tc>
          <w:tcPr>
            <w:tcW w:w="1421"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801809</w:t>
            </w:r>
          </w:p>
        </w:tc>
        <w:tc>
          <w:tcPr>
            <w:tcW w:w="1694"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328942</w:t>
            </w:r>
          </w:p>
        </w:tc>
        <w:tc>
          <w:tcPr>
            <w:tcW w:w="140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297422</w:t>
            </w:r>
          </w:p>
        </w:tc>
        <w:tc>
          <w:tcPr>
            <w:tcW w:w="140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162814</w:t>
            </w:r>
          </w:p>
        </w:tc>
        <w:tc>
          <w:tcPr>
            <w:tcW w:w="1421"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504387</w:t>
            </w:r>
          </w:p>
        </w:tc>
      </w:tr>
      <w:tr w:rsidR="007B3874">
        <w:tblPrEx>
          <w:tblCellMar>
            <w:top w:w="0" w:type="dxa"/>
            <w:bottom w:w="0" w:type="dxa"/>
          </w:tblCellMar>
        </w:tblPrEx>
        <w:trPr>
          <w:trHeight w:hRule="exact" w:val="288"/>
        </w:trPr>
        <w:tc>
          <w:tcPr>
            <w:tcW w:w="1104"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2012</w:t>
            </w:r>
          </w:p>
        </w:tc>
        <w:tc>
          <w:tcPr>
            <w:tcW w:w="141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572342</w:t>
            </w:r>
          </w:p>
        </w:tc>
        <w:tc>
          <w:tcPr>
            <w:tcW w:w="1421"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815142</w:t>
            </w:r>
          </w:p>
        </w:tc>
        <w:tc>
          <w:tcPr>
            <w:tcW w:w="1694"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373262</w:t>
            </w:r>
          </w:p>
        </w:tc>
        <w:tc>
          <w:tcPr>
            <w:tcW w:w="140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344237</w:t>
            </w:r>
          </w:p>
        </w:tc>
        <w:tc>
          <w:tcPr>
            <w:tcW w:w="1406" w:type="dxa"/>
            <w:tcBorders>
              <w:top w:val="single" w:sz="4" w:space="0" w:color="auto"/>
              <w:lef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199080</w:t>
            </w:r>
          </w:p>
        </w:tc>
        <w:tc>
          <w:tcPr>
            <w:tcW w:w="1421" w:type="dxa"/>
            <w:tcBorders>
              <w:top w:val="single" w:sz="4" w:space="0" w:color="auto"/>
              <w:left w:val="single" w:sz="4" w:space="0" w:color="auto"/>
              <w:right w:val="single" w:sz="4" w:space="0" w:color="auto"/>
            </w:tcBorders>
            <w:shd w:val="clear" w:color="auto" w:fill="FFFFFF"/>
            <w:vAlign w:val="bottom"/>
          </w:tcPr>
          <w:p w:rsidR="007B3874" w:rsidRDefault="0018067B">
            <w:pPr>
              <w:pStyle w:val="a5"/>
              <w:framePr w:w="9869" w:h="2280" w:wrap="around" w:vAnchor="page" w:hAnchor="page" w:x="1033" w:y="2345"/>
              <w:shd w:val="clear" w:color="auto" w:fill="auto"/>
              <w:spacing w:after="0" w:line="210" w:lineRule="exact"/>
            </w:pPr>
            <w:r>
              <w:rPr>
                <w:rStyle w:val="ab"/>
              </w:rPr>
              <w:t>470905</w:t>
            </w:r>
          </w:p>
        </w:tc>
      </w:tr>
      <w:tr w:rsidR="007B3874">
        <w:tblPrEx>
          <w:tblCellMar>
            <w:top w:w="0" w:type="dxa"/>
            <w:bottom w:w="0" w:type="dxa"/>
          </w:tblCellMar>
        </w:tblPrEx>
        <w:trPr>
          <w:trHeight w:hRule="exact" w:val="293"/>
        </w:trPr>
        <w:tc>
          <w:tcPr>
            <w:tcW w:w="1104" w:type="dxa"/>
            <w:tcBorders>
              <w:top w:val="single" w:sz="4" w:space="0" w:color="auto"/>
              <w:left w:val="single" w:sz="4" w:space="0" w:color="auto"/>
              <w:bottom w:val="single" w:sz="4" w:space="0" w:color="auto"/>
            </w:tcBorders>
            <w:shd w:val="clear" w:color="auto" w:fill="FFFFFF"/>
          </w:tcPr>
          <w:p w:rsidR="007B3874" w:rsidRDefault="0018067B">
            <w:pPr>
              <w:pStyle w:val="a5"/>
              <w:framePr w:w="9869" w:h="2280" w:wrap="around" w:vAnchor="page" w:hAnchor="page" w:x="1033" w:y="2345"/>
              <w:shd w:val="clear" w:color="auto" w:fill="auto"/>
              <w:spacing w:after="0" w:line="210" w:lineRule="exact"/>
            </w:pPr>
            <w:r>
              <w:rPr>
                <w:rStyle w:val="ab"/>
              </w:rPr>
              <w:t>2013</w:t>
            </w:r>
          </w:p>
        </w:tc>
        <w:tc>
          <w:tcPr>
            <w:tcW w:w="1416" w:type="dxa"/>
            <w:tcBorders>
              <w:top w:val="single" w:sz="4" w:space="0" w:color="auto"/>
              <w:left w:val="single" w:sz="4" w:space="0" w:color="auto"/>
              <w:bottom w:val="single" w:sz="4" w:space="0" w:color="auto"/>
            </w:tcBorders>
            <w:shd w:val="clear" w:color="auto" w:fill="FFFFFF"/>
          </w:tcPr>
          <w:p w:rsidR="007B3874" w:rsidRDefault="0018067B">
            <w:pPr>
              <w:pStyle w:val="a5"/>
              <w:framePr w:w="9869" w:h="2280" w:wrap="around" w:vAnchor="page" w:hAnchor="page" w:x="1033" w:y="2345"/>
              <w:shd w:val="clear" w:color="auto" w:fill="auto"/>
              <w:spacing w:after="0" w:line="210" w:lineRule="exact"/>
            </w:pPr>
            <w:r>
              <w:rPr>
                <w:rStyle w:val="ab"/>
              </w:rPr>
              <w:t>669974</w:t>
            </w:r>
          </w:p>
        </w:tc>
        <w:tc>
          <w:tcPr>
            <w:tcW w:w="1421" w:type="dxa"/>
            <w:tcBorders>
              <w:top w:val="single" w:sz="4" w:space="0" w:color="auto"/>
              <w:left w:val="single" w:sz="4" w:space="0" w:color="auto"/>
              <w:bottom w:val="single" w:sz="4" w:space="0" w:color="auto"/>
            </w:tcBorders>
            <w:shd w:val="clear" w:color="auto" w:fill="FFFFFF"/>
          </w:tcPr>
          <w:p w:rsidR="007B3874" w:rsidRDefault="0018067B">
            <w:pPr>
              <w:pStyle w:val="a5"/>
              <w:framePr w:w="9869" w:h="2280" w:wrap="around" w:vAnchor="page" w:hAnchor="page" w:x="1033" w:y="2345"/>
              <w:shd w:val="clear" w:color="auto" w:fill="auto"/>
              <w:spacing w:after="0" w:line="210" w:lineRule="exact"/>
            </w:pPr>
            <w:r>
              <w:rPr>
                <w:rStyle w:val="ab"/>
              </w:rPr>
              <w:t>910782</w:t>
            </w:r>
          </w:p>
        </w:tc>
        <w:tc>
          <w:tcPr>
            <w:tcW w:w="1694" w:type="dxa"/>
            <w:tcBorders>
              <w:top w:val="single" w:sz="4" w:space="0" w:color="auto"/>
              <w:left w:val="single" w:sz="4" w:space="0" w:color="auto"/>
              <w:bottom w:val="single" w:sz="4" w:space="0" w:color="auto"/>
            </w:tcBorders>
            <w:shd w:val="clear" w:color="auto" w:fill="FFFFFF"/>
          </w:tcPr>
          <w:p w:rsidR="007B3874" w:rsidRDefault="0018067B">
            <w:pPr>
              <w:pStyle w:val="a5"/>
              <w:framePr w:w="9869" w:h="2280" w:wrap="around" w:vAnchor="page" w:hAnchor="page" w:x="1033" w:y="2345"/>
              <w:shd w:val="clear" w:color="auto" w:fill="auto"/>
              <w:spacing w:after="0" w:line="210" w:lineRule="exact"/>
            </w:pPr>
            <w:r>
              <w:rPr>
                <w:rStyle w:val="ab"/>
              </w:rPr>
              <w:t>394396</w:t>
            </w:r>
          </w:p>
        </w:tc>
        <w:tc>
          <w:tcPr>
            <w:tcW w:w="1406" w:type="dxa"/>
            <w:tcBorders>
              <w:top w:val="single" w:sz="4" w:space="0" w:color="auto"/>
              <w:left w:val="single" w:sz="4" w:space="0" w:color="auto"/>
              <w:bottom w:val="single" w:sz="4" w:space="0" w:color="auto"/>
            </w:tcBorders>
            <w:shd w:val="clear" w:color="auto" w:fill="FFFFFF"/>
          </w:tcPr>
          <w:p w:rsidR="007B3874" w:rsidRDefault="0018067B">
            <w:pPr>
              <w:pStyle w:val="a5"/>
              <w:framePr w:w="9869" w:h="2280" w:wrap="around" w:vAnchor="page" w:hAnchor="page" w:x="1033" w:y="2345"/>
              <w:shd w:val="clear" w:color="auto" w:fill="auto"/>
              <w:spacing w:after="0" w:line="210" w:lineRule="exact"/>
            </w:pPr>
            <w:r>
              <w:rPr>
                <w:rStyle w:val="ab"/>
              </w:rPr>
              <w:t>426082</w:t>
            </w:r>
          </w:p>
        </w:tc>
        <w:tc>
          <w:tcPr>
            <w:tcW w:w="1406" w:type="dxa"/>
            <w:tcBorders>
              <w:top w:val="single" w:sz="4" w:space="0" w:color="auto"/>
              <w:left w:val="single" w:sz="4" w:space="0" w:color="auto"/>
              <w:bottom w:val="single" w:sz="4" w:space="0" w:color="auto"/>
            </w:tcBorders>
            <w:shd w:val="clear" w:color="auto" w:fill="FFFFFF"/>
          </w:tcPr>
          <w:p w:rsidR="007B3874" w:rsidRDefault="0018067B">
            <w:pPr>
              <w:pStyle w:val="a5"/>
              <w:framePr w:w="9869" w:h="2280" w:wrap="around" w:vAnchor="page" w:hAnchor="page" w:x="1033" w:y="2345"/>
              <w:shd w:val="clear" w:color="auto" w:fill="auto"/>
              <w:spacing w:after="0" w:line="210" w:lineRule="exact"/>
            </w:pPr>
            <w:r>
              <w:rPr>
                <w:rStyle w:val="ab"/>
              </w:rPr>
              <w:t>275578</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3874" w:rsidRDefault="0018067B">
            <w:pPr>
              <w:pStyle w:val="a5"/>
              <w:framePr w:w="9869" w:h="2280" w:wrap="around" w:vAnchor="page" w:hAnchor="page" w:x="1033" w:y="2345"/>
              <w:shd w:val="clear" w:color="auto" w:fill="auto"/>
              <w:spacing w:after="0" w:line="210" w:lineRule="exact"/>
            </w:pPr>
            <w:r>
              <w:rPr>
                <w:rStyle w:val="ab"/>
              </w:rPr>
              <w:t>484700</w:t>
            </w:r>
          </w:p>
        </w:tc>
      </w:tr>
    </w:tbl>
    <w:p w:rsidR="007B3874" w:rsidRDefault="0018067B">
      <w:pPr>
        <w:pStyle w:val="a5"/>
        <w:framePr w:w="9936" w:h="10076" w:hRule="exact" w:wrap="around" w:vAnchor="page" w:hAnchor="page" w:x="999" w:y="4594"/>
        <w:shd w:val="clear" w:color="auto" w:fill="auto"/>
        <w:spacing w:after="0"/>
        <w:ind w:left="20" w:right="20" w:firstLine="560"/>
        <w:jc w:val="both"/>
      </w:pPr>
      <w:r>
        <w:t xml:space="preserve">Із наведених у табл. 9 даних можна зробити висновок, що розміри кредитів суттєво перевищують обсяги депозитів. Так, на 01.01.2014 року в структурі депозитів і кредитів невідповідність становить 240808 </w:t>
      </w:r>
      <w:r>
        <w:rPr>
          <w:lang w:val="ru-RU" w:eastAsia="ru-RU" w:bidi="ru-RU"/>
        </w:rPr>
        <w:t xml:space="preserve">млн. грн., </w:t>
      </w:r>
      <w:r>
        <w:t>або 26,44% від кредитів, у тому числі депози</w:t>
      </w:r>
      <w:r>
        <w:t xml:space="preserve">тів на вимогу і до 1 року та кредитів до 1 року - 31686 </w:t>
      </w:r>
      <w:r>
        <w:rPr>
          <w:lang w:val="ru-RU" w:eastAsia="ru-RU" w:bidi="ru-RU"/>
        </w:rPr>
        <w:t xml:space="preserve">млн. грн., </w:t>
      </w:r>
      <w:r>
        <w:t xml:space="preserve">або 7,44% від кредитів до 1 року, депозитів більше 1 року і кредитів більше 1 року - 209122 </w:t>
      </w:r>
      <w:r>
        <w:rPr>
          <w:lang w:val="ru-RU" w:eastAsia="ru-RU" w:bidi="ru-RU"/>
        </w:rPr>
        <w:t xml:space="preserve">млн. грн., </w:t>
      </w:r>
      <w:r>
        <w:t>або 43,15% від кредитів більше 1 року.</w:t>
      </w:r>
    </w:p>
    <w:p w:rsidR="007B3874" w:rsidRDefault="0018067B">
      <w:pPr>
        <w:pStyle w:val="a5"/>
        <w:framePr w:w="9936" w:h="10076" w:hRule="exact" w:wrap="around" w:vAnchor="page" w:hAnchor="page" w:x="999" w:y="4594"/>
        <w:shd w:val="clear" w:color="auto" w:fill="auto"/>
        <w:spacing w:after="0"/>
        <w:ind w:left="20" w:right="20" w:firstLine="560"/>
        <w:jc w:val="both"/>
      </w:pPr>
      <w:r>
        <w:t xml:space="preserve">Від здатності банківської системи мобілізувати </w:t>
      </w:r>
      <w:r>
        <w:t>потрібний розмір короткострокових і довгострокових депозитів у значній мірі залежать можливості банківських установ у кредитуванні виробничого сектора економіки.</w:t>
      </w:r>
    </w:p>
    <w:p w:rsidR="007B3874" w:rsidRDefault="0018067B">
      <w:pPr>
        <w:pStyle w:val="a5"/>
        <w:framePr w:w="9936" w:h="10076" w:hRule="exact" w:wrap="around" w:vAnchor="page" w:hAnchor="page" w:x="999" w:y="4594"/>
        <w:shd w:val="clear" w:color="auto" w:fill="auto"/>
        <w:spacing w:after="0"/>
        <w:ind w:left="20" w:right="20" w:firstLine="560"/>
        <w:jc w:val="both"/>
      </w:pPr>
      <w:r>
        <w:t>У розвитку депозитів за останні п’ять років простежуються наступні кількісні та якісні тенденц</w:t>
      </w:r>
      <w:r>
        <w:t>ії, котрі відображають окремі сторони депозитної політики банків.</w:t>
      </w:r>
    </w:p>
    <w:p w:rsidR="007B3874" w:rsidRDefault="0018067B">
      <w:pPr>
        <w:pStyle w:val="a5"/>
        <w:framePr w:w="9936" w:h="10076" w:hRule="exact" w:wrap="around" w:vAnchor="page" w:hAnchor="page" w:x="999" w:y="4594"/>
        <w:shd w:val="clear" w:color="auto" w:fill="auto"/>
        <w:spacing w:after="0"/>
        <w:ind w:left="20" w:right="20" w:firstLine="560"/>
        <w:jc w:val="both"/>
      </w:pPr>
      <w:r>
        <w:t>З кожним роком обсяги залучених депозитів зростають за секторами економіки, у розрізі видів валют та строків погашення.</w:t>
      </w:r>
    </w:p>
    <w:p w:rsidR="007B3874" w:rsidRDefault="0018067B">
      <w:pPr>
        <w:pStyle w:val="a5"/>
        <w:framePr w:w="9936" w:h="10076" w:hRule="exact" w:wrap="around" w:vAnchor="page" w:hAnchor="page" w:x="999" w:y="4594"/>
        <w:shd w:val="clear" w:color="auto" w:fill="auto"/>
        <w:spacing w:after="0"/>
        <w:ind w:left="20" w:right="20" w:firstLine="560"/>
        <w:jc w:val="both"/>
      </w:pPr>
      <w:r>
        <w:t>На кінець 2013 року депозити сектору домашніх господарств продовжували</w:t>
      </w:r>
      <w:r>
        <w:t xml:space="preserve"> займати найбільшу питому вагу в структурі депозитів резидентів (66,0%, або 441951 </w:t>
      </w:r>
      <w:r>
        <w:rPr>
          <w:lang w:val="ru-RU" w:eastAsia="ru-RU" w:bidi="ru-RU"/>
        </w:rPr>
        <w:t xml:space="preserve">млн. грн.). </w:t>
      </w:r>
      <w:r>
        <w:t xml:space="preserve">Депозити сектору нефінансових корпорацій становили 29,1%, або 195160 </w:t>
      </w:r>
      <w:r>
        <w:rPr>
          <w:lang w:val="ru-RU" w:eastAsia="ru-RU" w:bidi="ru-RU"/>
        </w:rPr>
        <w:t xml:space="preserve">млн. грн., </w:t>
      </w:r>
      <w:r>
        <w:t>інших резидентів - 4,9%, або 32863 млн. грн.</w:t>
      </w:r>
    </w:p>
    <w:p w:rsidR="007B3874" w:rsidRDefault="0018067B">
      <w:pPr>
        <w:pStyle w:val="a5"/>
        <w:framePr w:w="9936" w:h="10076" w:hRule="exact" w:wrap="around" w:vAnchor="page" w:hAnchor="page" w:x="999" w:y="4594"/>
        <w:shd w:val="clear" w:color="auto" w:fill="auto"/>
        <w:spacing w:after="0"/>
        <w:ind w:left="20" w:right="20" w:firstLine="560"/>
        <w:jc w:val="both"/>
      </w:pPr>
      <w:r>
        <w:t>Короткострокові депозити резидентів,</w:t>
      </w:r>
      <w:r>
        <w:t xml:space="preserve"> залучені депозитними корпораціями (на вимогу і до 1 року), становлять 58,9%, а довгострокові (від 1 до 2 років і більше 2 років) - 41,1%.</w:t>
      </w:r>
    </w:p>
    <w:p w:rsidR="007B3874" w:rsidRDefault="0018067B">
      <w:pPr>
        <w:pStyle w:val="a5"/>
        <w:framePr w:w="9936" w:h="10076" w:hRule="exact" w:wrap="around" w:vAnchor="page" w:hAnchor="page" w:x="999" w:y="4594"/>
        <w:shd w:val="clear" w:color="auto" w:fill="auto"/>
        <w:spacing w:after="0"/>
        <w:ind w:left="20" w:right="20" w:firstLine="560"/>
        <w:jc w:val="both"/>
      </w:pPr>
      <w:r>
        <w:t>За останні п’ять років намітилась стійка тенденція до випередження темпів збільшення обсягів депозитів над темпами зр</w:t>
      </w:r>
      <w:r>
        <w:t>остання кредитування.</w:t>
      </w:r>
    </w:p>
    <w:p w:rsidR="007B3874" w:rsidRDefault="0018067B">
      <w:pPr>
        <w:pStyle w:val="a5"/>
        <w:framePr w:w="9936" w:h="10076" w:hRule="exact" w:wrap="around" w:vAnchor="page" w:hAnchor="page" w:x="999" w:y="4594"/>
        <w:shd w:val="clear" w:color="auto" w:fill="auto"/>
        <w:spacing w:after="0"/>
        <w:ind w:left="20" w:right="20" w:firstLine="560"/>
        <w:jc w:val="both"/>
      </w:pPr>
      <w:r>
        <w:t xml:space="preserve">Висновки та подальші дослідження. Отже, реалізація цілей банку у сфері організації кредитних відносин вимагає розробки адекватних заходів з розвитку і вдосконалення депозитних операцій. Такими заходами, на нашу думку, можуть </w:t>
      </w:r>
      <w:r>
        <w:rPr>
          <w:lang w:val="ru-RU" w:eastAsia="ru-RU" w:bidi="ru-RU"/>
        </w:rPr>
        <w:t>бути:</w:t>
      </w:r>
    </w:p>
    <w:p w:rsidR="007B3874" w:rsidRDefault="0018067B">
      <w:pPr>
        <w:pStyle w:val="a5"/>
        <w:framePr w:w="9936" w:h="10076" w:hRule="exact" w:wrap="around" w:vAnchor="page" w:hAnchor="page" w:x="999" w:y="4594"/>
        <w:numPr>
          <w:ilvl w:val="0"/>
          <w:numId w:val="1"/>
        </w:numPr>
        <w:shd w:val="clear" w:color="auto" w:fill="auto"/>
        <w:spacing w:after="0"/>
        <w:ind w:left="20" w:right="20" w:firstLine="560"/>
        <w:jc w:val="both"/>
      </w:pPr>
      <w:r>
        <w:t xml:space="preserve"> по</w:t>
      </w:r>
      <w:r>
        <w:t>годжувати проведення депозитних і кредитних операцій за обсягами, секторами економіки, строками і видами валют;</w:t>
      </w:r>
    </w:p>
    <w:p w:rsidR="007B3874" w:rsidRDefault="0018067B">
      <w:pPr>
        <w:pStyle w:val="a5"/>
        <w:framePr w:w="9936" w:h="10076" w:hRule="exact" w:wrap="around" w:vAnchor="page" w:hAnchor="page" w:x="999" w:y="4594"/>
        <w:numPr>
          <w:ilvl w:val="0"/>
          <w:numId w:val="1"/>
        </w:numPr>
        <w:shd w:val="clear" w:color="auto" w:fill="auto"/>
        <w:spacing w:after="0" w:line="278" w:lineRule="exact"/>
        <w:ind w:left="20" w:right="20" w:firstLine="560"/>
        <w:jc w:val="both"/>
      </w:pPr>
      <w:r>
        <w:t xml:space="preserve"> оскільки найбільшу питому вагу в структурі депозитного портфеля банків становлять вклади домашніх господарств, доцільним є значно більше уваги </w:t>
      </w:r>
      <w:r>
        <w:t>приділяти розвитку депозитних операцій з населенням на основі впровадження нової техніки і технології банківського обслуговування фізичних осіб;</w:t>
      </w:r>
    </w:p>
    <w:p w:rsidR="007B3874" w:rsidRDefault="0018067B">
      <w:pPr>
        <w:pStyle w:val="a5"/>
        <w:framePr w:w="9936" w:h="10076" w:hRule="exact" w:wrap="around" w:vAnchor="page" w:hAnchor="page" w:x="999" w:y="4594"/>
        <w:numPr>
          <w:ilvl w:val="0"/>
          <w:numId w:val="1"/>
        </w:numPr>
        <w:shd w:val="clear" w:color="auto" w:fill="auto"/>
        <w:spacing w:after="0" w:line="278" w:lineRule="exact"/>
        <w:ind w:left="20" w:right="20" w:firstLine="560"/>
        <w:jc w:val="both"/>
      </w:pPr>
      <w:r>
        <w:t xml:space="preserve"> підвищувати кваліфікацію працівників банку для покращення якості та культури обслуговування клієнтів;</w:t>
      </w:r>
    </w:p>
    <w:p w:rsidR="007B3874" w:rsidRDefault="0018067B">
      <w:pPr>
        <w:pStyle w:val="a5"/>
        <w:framePr w:w="9936" w:h="10076" w:hRule="exact" w:wrap="around" w:vAnchor="page" w:hAnchor="page" w:x="999" w:y="4594"/>
        <w:numPr>
          <w:ilvl w:val="0"/>
          <w:numId w:val="1"/>
        </w:numPr>
        <w:shd w:val="clear" w:color="auto" w:fill="auto"/>
        <w:spacing w:after="0" w:line="278" w:lineRule="exact"/>
        <w:ind w:left="20" w:right="20" w:firstLine="560"/>
        <w:jc w:val="both"/>
      </w:pPr>
      <w:r>
        <w:t xml:space="preserve"> збільши</w:t>
      </w:r>
      <w:r>
        <w:t>ти обсяги строкових вкладів населення, зокрема шляхом використання ощадних сертифікатів;</w:t>
      </w:r>
    </w:p>
    <w:p w:rsidR="007B3874" w:rsidRDefault="0018067B">
      <w:pPr>
        <w:pStyle w:val="a5"/>
        <w:framePr w:w="9936" w:h="10076" w:hRule="exact" w:wrap="around" w:vAnchor="page" w:hAnchor="page" w:x="999" w:y="4594"/>
        <w:numPr>
          <w:ilvl w:val="0"/>
          <w:numId w:val="1"/>
        </w:numPr>
        <w:shd w:val="clear" w:color="auto" w:fill="auto"/>
        <w:spacing w:after="0" w:line="278" w:lineRule="exact"/>
        <w:ind w:left="20" w:right="20" w:firstLine="560"/>
        <w:jc w:val="both"/>
      </w:pPr>
      <w:r>
        <w:t xml:space="preserve"> направляти заощадження населення на фінансове забезпечення розвитку виробничого сектора економіки;</w:t>
      </w:r>
    </w:p>
    <w:p w:rsidR="007B3874" w:rsidRDefault="0018067B">
      <w:pPr>
        <w:pStyle w:val="a7"/>
        <w:framePr w:wrap="around" w:vAnchor="page" w:hAnchor="page" w:x="980" w:y="15663"/>
        <w:shd w:val="clear" w:color="auto" w:fill="auto"/>
        <w:spacing w:line="170" w:lineRule="exact"/>
        <w:ind w:left="20"/>
      </w:pPr>
      <w:r>
        <w:t>290</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a5"/>
        <w:framePr w:w="9960" w:h="13421" w:hRule="exact" w:wrap="around" w:vAnchor="page" w:hAnchor="page" w:x="987" w:y="1142"/>
        <w:numPr>
          <w:ilvl w:val="0"/>
          <w:numId w:val="1"/>
        </w:numPr>
        <w:shd w:val="clear" w:color="auto" w:fill="auto"/>
        <w:spacing w:after="0"/>
        <w:ind w:left="40" w:right="20" w:firstLine="580"/>
        <w:jc w:val="both"/>
      </w:pPr>
      <w:r>
        <w:lastRenderedPageBreak/>
        <w:t xml:space="preserve"> активно використовувати процентну політику як метод стимулювання розміщення коштів на різні види вкладів, зокрема прогресивні ставки, можливість до завершення строку часткового зняття суми депозиту зі зниженням процентної ставки та ін.;</w:t>
      </w:r>
    </w:p>
    <w:p w:rsidR="007B3874" w:rsidRDefault="0018067B">
      <w:pPr>
        <w:pStyle w:val="a5"/>
        <w:framePr w:w="9960" w:h="13421" w:hRule="exact" w:wrap="around" w:vAnchor="page" w:hAnchor="page" w:x="987" w:y="1142"/>
        <w:numPr>
          <w:ilvl w:val="0"/>
          <w:numId w:val="1"/>
        </w:numPr>
        <w:shd w:val="clear" w:color="auto" w:fill="auto"/>
        <w:spacing w:after="0"/>
        <w:ind w:left="40" w:right="20" w:firstLine="580"/>
        <w:jc w:val="both"/>
      </w:pPr>
      <w:r>
        <w:t xml:space="preserve"> збільшити коло де</w:t>
      </w:r>
      <w:r>
        <w:t xml:space="preserve">позитних рахунків з різноманітним режимом використання, котрі дають змогу поєднувати строкові вклади з вкладом до запитання - для здійснення платежів і отримання прийнятного рівня доходу </w:t>
      </w:r>
      <w:r>
        <w:rPr>
          <w:lang w:val="en-US" w:eastAsia="en-US" w:bidi="en-US"/>
        </w:rPr>
        <w:t>(ATS</w:t>
      </w:r>
      <w:r>
        <w:t xml:space="preserve">-рахунки </w:t>
      </w:r>
      <w:r>
        <w:rPr>
          <w:lang w:val="en-US" w:eastAsia="en-US" w:bidi="en-US"/>
        </w:rPr>
        <w:t xml:space="preserve">(automatic transfer service) </w:t>
      </w:r>
      <w:r>
        <w:t>- рахунки автоматичного пер</w:t>
      </w:r>
      <w:r>
        <w:t xml:space="preserve">ерахування грошових коштів, </w:t>
      </w:r>
      <w:r>
        <w:rPr>
          <w:lang w:val="en-US" w:eastAsia="en-US" w:bidi="en-US"/>
        </w:rPr>
        <w:t xml:space="preserve">NOW </w:t>
      </w:r>
      <w:r>
        <w:t xml:space="preserve">- </w:t>
      </w:r>
      <w:r>
        <w:rPr>
          <w:lang w:val="en-US" w:eastAsia="en-US" w:bidi="en-US"/>
        </w:rPr>
        <w:t xml:space="preserve">negotiable order of withdrawal - </w:t>
      </w:r>
      <w:r>
        <w:t xml:space="preserve">наказ на зняття грошових коштів в обігу, </w:t>
      </w:r>
      <w:r>
        <w:rPr>
          <w:lang w:val="en-US" w:eastAsia="en-US" w:bidi="en-US"/>
        </w:rPr>
        <w:t xml:space="preserve">MMDA </w:t>
      </w:r>
      <w:r>
        <w:t xml:space="preserve">- </w:t>
      </w:r>
      <w:r>
        <w:rPr>
          <w:lang w:val="en-US" w:eastAsia="en-US" w:bidi="en-US"/>
        </w:rPr>
        <w:t xml:space="preserve">money market deposit account - </w:t>
      </w:r>
      <w:r>
        <w:t>вкладні рахунки грошового ринку. Надання банками інших додаткових послуг за цими рахунками (видача кредиту обс</w:t>
      </w:r>
      <w:r>
        <w:t>ягом до 50 відсотків залишку на вкладі, вкладення коштів на рахунках у цінні папери, що дають відповідний дохід);</w:t>
      </w:r>
    </w:p>
    <w:p w:rsidR="007B3874" w:rsidRDefault="0018067B">
      <w:pPr>
        <w:pStyle w:val="a5"/>
        <w:framePr w:w="9960" w:h="13421" w:hRule="exact" w:wrap="around" w:vAnchor="page" w:hAnchor="page" w:x="987" w:y="1142"/>
        <w:numPr>
          <w:ilvl w:val="0"/>
          <w:numId w:val="1"/>
        </w:numPr>
        <w:shd w:val="clear" w:color="auto" w:fill="auto"/>
        <w:spacing w:after="0"/>
        <w:ind w:left="40" w:right="20" w:firstLine="580"/>
        <w:jc w:val="both"/>
      </w:pPr>
      <w:r>
        <w:t xml:space="preserve"> активно застосовувати комплексне обслуговування клієнтів як засіб підвищення конкурентоспроможності банку, що веде до зберігання коштів на ра</w:t>
      </w:r>
      <w:r>
        <w:t>хунках, залучення коштів на вклади, впровадження у банківську практику різних видів дебетових і кредитних карток, котрі можуть використовуватися для оплати різноманітних товарів і послуг, отримання готівки, заробітної плати та ін., що стимулює їхніх власни</w:t>
      </w:r>
      <w:r>
        <w:t>ків до розміщення коштів у банку;</w:t>
      </w:r>
    </w:p>
    <w:p w:rsidR="007B3874" w:rsidRDefault="0018067B">
      <w:pPr>
        <w:pStyle w:val="a5"/>
        <w:framePr w:w="9960" w:h="13421" w:hRule="exact" w:wrap="around" w:vAnchor="page" w:hAnchor="page" w:x="987" w:y="1142"/>
        <w:numPr>
          <w:ilvl w:val="0"/>
          <w:numId w:val="1"/>
        </w:numPr>
        <w:shd w:val="clear" w:color="auto" w:fill="auto"/>
        <w:spacing w:after="0"/>
        <w:ind w:left="40" w:right="20" w:firstLine="580"/>
        <w:jc w:val="both"/>
      </w:pPr>
      <w:r>
        <w:t xml:space="preserve"> застосовувати перспективні види вкладів, їх розширення (залучення банками різдвяних, відпускних, податкових, пенсійних та інших строкових вкладів). Для банків такі методи мобілізації бажані тим, що вони сприяють зростанню депозитів і стимулюють ощадливіст</w:t>
      </w:r>
      <w:r>
        <w:t>ь вкладників;</w:t>
      </w:r>
    </w:p>
    <w:p w:rsidR="007B3874" w:rsidRDefault="0018067B">
      <w:pPr>
        <w:pStyle w:val="a5"/>
        <w:framePr w:w="9960" w:h="13421" w:hRule="exact" w:wrap="around" w:vAnchor="page" w:hAnchor="page" w:x="987" w:y="1142"/>
        <w:numPr>
          <w:ilvl w:val="0"/>
          <w:numId w:val="1"/>
        </w:numPr>
        <w:shd w:val="clear" w:color="auto" w:fill="auto"/>
        <w:spacing w:after="0" w:line="283" w:lineRule="exact"/>
        <w:ind w:left="40" w:firstLine="580"/>
        <w:jc w:val="both"/>
      </w:pPr>
      <w:r>
        <w:t xml:space="preserve"> активніше залучати кошти громадян України в іноземній валюті;</w:t>
      </w:r>
    </w:p>
    <w:p w:rsidR="007B3874" w:rsidRDefault="0018067B">
      <w:pPr>
        <w:pStyle w:val="a5"/>
        <w:framePr w:w="9960" w:h="13421" w:hRule="exact" w:wrap="around" w:vAnchor="page" w:hAnchor="page" w:x="987" w:y="1142"/>
        <w:numPr>
          <w:ilvl w:val="0"/>
          <w:numId w:val="1"/>
        </w:numPr>
        <w:shd w:val="clear" w:color="auto" w:fill="auto"/>
        <w:spacing w:after="0" w:line="283" w:lineRule="exact"/>
        <w:ind w:left="40" w:right="20" w:firstLine="580"/>
        <w:jc w:val="both"/>
      </w:pPr>
      <w:r>
        <w:t xml:space="preserve"> вітчизняним банківським установам доцільно відкривати рахунки і для іноземних громадян;</w:t>
      </w:r>
    </w:p>
    <w:p w:rsidR="007B3874" w:rsidRDefault="0018067B">
      <w:pPr>
        <w:pStyle w:val="a5"/>
        <w:framePr w:w="9960" w:h="13421" w:hRule="exact" w:wrap="around" w:vAnchor="page" w:hAnchor="page" w:x="987" w:y="1142"/>
        <w:numPr>
          <w:ilvl w:val="0"/>
          <w:numId w:val="1"/>
        </w:numPr>
        <w:shd w:val="clear" w:color="auto" w:fill="auto"/>
        <w:spacing w:after="0" w:line="278" w:lineRule="exact"/>
        <w:ind w:left="40" w:right="20" w:firstLine="580"/>
        <w:jc w:val="both"/>
      </w:pPr>
      <w:r>
        <w:t xml:space="preserve"> прискорити впровадження Стратегічної програми розвитку безготівкових роздрібних платежів в Україні;</w:t>
      </w:r>
    </w:p>
    <w:p w:rsidR="007B3874" w:rsidRDefault="0018067B">
      <w:pPr>
        <w:pStyle w:val="a5"/>
        <w:framePr w:w="9960" w:h="13421" w:hRule="exact" w:wrap="around" w:vAnchor="page" w:hAnchor="page" w:x="987" w:y="1142"/>
        <w:numPr>
          <w:ilvl w:val="0"/>
          <w:numId w:val="1"/>
        </w:numPr>
        <w:shd w:val="clear" w:color="auto" w:fill="auto"/>
        <w:spacing w:after="0" w:line="278" w:lineRule="exact"/>
        <w:ind w:left="40" w:right="20" w:firstLine="580"/>
        <w:jc w:val="both"/>
      </w:pPr>
      <w:r>
        <w:t xml:space="preserve"> удосконалити механізм здійснення виплат з Фонду гарантування вкладів фізичних осіб відразу при виникненні проблем у банківській установі, що збільшить дов</w:t>
      </w:r>
      <w:r>
        <w:t>іру населення до банківської системи.</w:t>
      </w:r>
    </w:p>
    <w:p w:rsidR="007B3874" w:rsidRDefault="0018067B">
      <w:pPr>
        <w:pStyle w:val="a5"/>
        <w:framePr w:w="9960" w:h="13421" w:hRule="exact" w:wrap="around" w:vAnchor="page" w:hAnchor="page" w:x="987" w:y="1142"/>
        <w:shd w:val="clear" w:color="auto" w:fill="auto"/>
        <w:spacing w:after="244" w:line="278" w:lineRule="exact"/>
        <w:ind w:left="40" w:right="20" w:firstLine="580"/>
        <w:jc w:val="both"/>
      </w:pPr>
      <w:r>
        <w:t>Більш глибокий аналіз взаємозв’язку депозитних і кредитних операцій банківських установ дозволить запропонувати шляхи підвищення реалізації їх головної функції щодо раціонального перерозподілу кредитних ресурсів.</w:t>
      </w:r>
    </w:p>
    <w:p w:rsidR="007B3874" w:rsidRDefault="0018067B">
      <w:pPr>
        <w:pStyle w:val="26"/>
        <w:framePr w:w="9960" w:h="13421" w:hRule="exact" w:wrap="around" w:vAnchor="page" w:hAnchor="page" w:x="987" w:y="1142"/>
        <w:shd w:val="clear" w:color="auto" w:fill="auto"/>
        <w:spacing w:before="0"/>
        <w:ind w:right="20"/>
      </w:pPr>
      <w:bookmarkStart w:id="0" w:name="bookmark0"/>
      <w:r>
        <w:t>Списо</w:t>
      </w:r>
      <w:r>
        <w:t>к літератури:</w:t>
      </w:r>
      <w:bookmarkEnd w:id="0"/>
    </w:p>
    <w:p w:rsidR="007B3874" w:rsidRDefault="0018067B">
      <w:pPr>
        <w:pStyle w:val="40"/>
        <w:framePr w:w="9960" w:h="13421" w:hRule="exact" w:wrap="around" w:vAnchor="page" w:hAnchor="page" w:x="987" w:y="1142"/>
        <w:numPr>
          <w:ilvl w:val="0"/>
          <w:numId w:val="2"/>
        </w:numPr>
        <w:shd w:val="clear" w:color="auto" w:fill="auto"/>
        <w:tabs>
          <w:tab w:val="right" w:pos="2704"/>
          <w:tab w:val="left" w:pos="3002"/>
          <w:tab w:val="left" w:pos="3846"/>
          <w:tab w:val="left" w:pos="5867"/>
          <w:tab w:val="center" w:pos="7038"/>
          <w:tab w:val="left" w:pos="7600"/>
        </w:tabs>
        <w:ind w:left="40" w:right="20" w:firstLine="580"/>
      </w:pPr>
      <w:r>
        <w:t xml:space="preserve"> Андрушків Т. І. Депозитна політика комерційного банку та напрями її вдосконалення в умовах економічної кризи [Електронний ресурс] / Т. І. Андрушків // Українська наука: минуле, сучасне, майбутнє.</w:t>
      </w:r>
      <w:r>
        <w:tab/>
        <w:t>-</w:t>
      </w:r>
      <w:r>
        <w:tab/>
        <w:t>2012.</w:t>
      </w:r>
      <w:r>
        <w:tab/>
        <w:t>- Випуск 17.</w:t>
      </w:r>
      <w:r>
        <w:tab/>
        <w:t>- С.</w:t>
      </w:r>
      <w:r>
        <w:tab/>
        <w:t>3-13.</w:t>
      </w:r>
      <w:r>
        <w:tab/>
        <w:t>- Режим досту</w:t>
      </w:r>
      <w:r>
        <w:t>пу:</w:t>
      </w:r>
    </w:p>
    <w:p w:rsidR="007B3874" w:rsidRDefault="007B3874">
      <w:pPr>
        <w:pStyle w:val="10"/>
        <w:framePr w:w="9960" w:h="13421" w:hRule="exact" w:wrap="around" w:vAnchor="page" w:hAnchor="page" w:x="987" w:y="1142"/>
        <w:shd w:val="clear" w:color="auto" w:fill="auto"/>
        <w:ind w:left="40"/>
      </w:pPr>
      <w:hyperlink r:id="rId11" w:history="1">
        <w:bookmarkStart w:id="1" w:name="bookmark1"/>
        <w:r w:rsidR="0018067B">
          <w:rPr>
            <w:rStyle w:val="a3"/>
          </w:rPr>
          <w:t>http://archive.nbuv.gov</w:t>
        </w:r>
      </w:hyperlink>
      <w:r w:rsidR="0018067B">
        <w:t>. ua/portal/ Soc_ Gum%20/UN_msm/201</w:t>
      </w:r>
      <w:r w:rsidR="0018067B">
        <w:rPr>
          <w:lang w:val="uk-UA" w:eastAsia="uk-UA" w:bidi="uk-UA"/>
        </w:rPr>
        <w:t>2_ 1</w:t>
      </w:r>
      <w:r w:rsidR="0018067B">
        <w:t>7/UN201</w:t>
      </w:r>
      <w:r w:rsidR="0018067B">
        <w:rPr>
          <w:lang w:val="uk-UA" w:eastAsia="uk-UA" w:bidi="uk-UA"/>
        </w:rPr>
        <w:t xml:space="preserve">2/01 </w:t>
      </w:r>
      <w:r w:rsidR="0018067B">
        <w:t>andr.pdf.</w:t>
      </w:r>
      <w:bookmarkEnd w:id="1"/>
    </w:p>
    <w:p w:rsidR="007B3874" w:rsidRDefault="0018067B">
      <w:pPr>
        <w:pStyle w:val="40"/>
        <w:framePr w:w="9960" w:h="13421" w:hRule="exact" w:wrap="around" w:vAnchor="page" w:hAnchor="page" w:x="987" w:y="1142"/>
        <w:numPr>
          <w:ilvl w:val="0"/>
          <w:numId w:val="2"/>
        </w:numPr>
        <w:shd w:val="clear" w:color="auto" w:fill="auto"/>
        <w:ind w:left="40" w:right="20" w:firstLine="580"/>
      </w:pPr>
      <w:r>
        <w:t xml:space="preserve"> Береславаська О. І. Депозитні операції банків України: сучасний стан та напрями розвитку [Електронний ресурс] / О. І. Береславська, В. А. Овсяник // Фінансово-кредитна діяльність: проблеми теорії та практики. - 2013. - Вип. 1(14). - С. 54-60. - Режим дост</w:t>
      </w:r>
      <w:r>
        <w:t xml:space="preserve">упу: </w:t>
      </w:r>
      <w:hyperlink r:id="rId12" w:history="1">
        <w:r>
          <w:rPr>
            <w:rStyle w:val="a3"/>
            <w:lang w:val="en-US" w:eastAsia="en-US" w:bidi="en-US"/>
          </w:rPr>
          <w:t>http://fkd</w:t>
        </w:r>
      </w:hyperlink>
      <w:r>
        <w:rPr>
          <w:lang w:val="en-US" w:eastAsia="en-US" w:bidi="en-US"/>
        </w:rPr>
        <w:t>. org. ua/pdf%5C201</w:t>
      </w:r>
      <w:r>
        <w:t xml:space="preserve">3_ 1 </w:t>
      </w:r>
      <w:r>
        <w:rPr>
          <w:lang w:val="en-US" w:eastAsia="en-US" w:bidi="en-US"/>
        </w:rPr>
        <w:t>%5C8.pdf.</w:t>
      </w:r>
    </w:p>
    <w:p w:rsidR="007B3874" w:rsidRDefault="0018067B">
      <w:pPr>
        <w:pStyle w:val="40"/>
        <w:framePr w:w="9960" w:h="13421" w:hRule="exact" w:wrap="around" w:vAnchor="page" w:hAnchor="page" w:x="987" w:y="1142"/>
        <w:numPr>
          <w:ilvl w:val="0"/>
          <w:numId w:val="2"/>
        </w:numPr>
        <w:shd w:val="clear" w:color="auto" w:fill="auto"/>
        <w:ind w:left="40" w:right="20" w:firstLine="580"/>
      </w:pPr>
      <w:r>
        <w:t xml:space="preserve"> Болгар Т. М. Сучасний стан і перспективи розвитку депозитної діяльності банків України [Електроннийресурс] /Т. М. Болгар //Академічний огляд. - 2011. - № 1 (34). - С. 38-43. - Режим</w:t>
      </w:r>
      <w:r>
        <w:t xml:space="preserve"> доступу: </w:t>
      </w:r>
      <w:hyperlink r:id="rId13" w:history="1">
        <w:r>
          <w:rPr>
            <w:rStyle w:val="a3"/>
            <w:lang w:val="en-US" w:eastAsia="en-US" w:bidi="en-US"/>
          </w:rPr>
          <w:t>http://archive.nbuv.gov</w:t>
        </w:r>
      </w:hyperlink>
      <w:r>
        <w:rPr>
          <w:lang w:val="en-US" w:eastAsia="en-US" w:bidi="en-US"/>
        </w:rPr>
        <w:t>. ua/portal/Soc_ Gum/ao/201</w:t>
      </w:r>
      <w:r>
        <w:t xml:space="preserve">1_ </w:t>
      </w:r>
      <w:r>
        <w:rPr>
          <w:lang w:val="en-US" w:eastAsia="en-US" w:bidi="en-US"/>
        </w:rPr>
        <w:t>1/6.pdf.</w:t>
      </w:r>
    </w:p>
    <w:p w:rsidR="007B3874" w:rsidRDefault="0018067B">
      <w:pPr>
        <w:pStyle w:val="40"/>
        <w:framePr w:w="9960" w:h="13421" w:hRule="exact" w:wrap="around" w:vAnchor="page" w:hAnchor="page" w:x="987" w:y="1142"/>
        <w:numPr>
          <w:ilvl w:val="0"/>
          <w:numId w:val="2"/>
        </w:numPr>
        <w:shd w:val="clear" w:color="auto" w:fill="auto"/>
        <w:ind w:left="40" w:right="20" w:firstLine="580"/>
      </w:pPr>
      <w:r>
        <w:t xml:space="preserve"> Бюлетень Національного банку України [Текст] /Щомісячне аналітично-статистичне видання Національного банку України. - 2013. - № 2. - 221 с.</w:t>
      </w:r>
    </w:p>
    <w:p w:rsidR="007B3874" w:rsidRDefault="0018067B">
      <w:pPr>
        <w:pStyle w:val="40"/>
        <w:framePr w:w="9960" w:h="13421" w:hRule="exact" w:wrap="around" w:vAnchor="page" w:hAnchor="page" w:x="987" w:y="1142"/>
        <w:numPr>
          <w:ilvl w:val="0"/>
          <w:numId w:val="2"/>
        </w:numPr>
        <w:shd w:val="clear" w:color="auto" w:fill="auto"/>
        <w:ind w:left="40" w:right="20" w:firstLine="580"/>
      </w:pPr>
      <w:r>
        <w:t xml:space="preserve"> Бюле</w:t>
      </w:r>
      <w:r>
        <w:t>тень Національного банку України [Текст] /Щомісячне аналітично-статистичне видання Національного банку України. - 2014. - № 2. - 217 с.</w:t>
      </w:r>
    </w:p>
    <w:p w:rsidR="007B3874" w:rsidRDefault="0018067B">
      <w:pPr>
        <w:pStyle w:val="a7"/>
        <w:framePr w:wrap="around" w:vAnchor="page" w:hAnchor="page" w:x="997" w:y="15615"/>
        <w:shd w:val="clear" w:color="auto" w:fill="auto"/>
        <w:spacing w:line="170" w:lineRule="exact"/>
        <w:ind w:left="20"/>
      </w:pPr>
      <w:r>
        <w:rPr>
          <w:lang w:val="en-US" w:eastAsia="en-US" w:bidi="en-US"/>
        </w:rPr>
        <w:t xml:space="preserve">ISSN </w:t>
      </w:r>
      <w:r>
        <w:t>1818-2682. Наука молода, 2014 рік. № 21</w:t>
      </w:r>
    </w:p>
    <w:p w:rsidR="007B3874" w:rsidRDefault="0018067B">
      <w:pPr>
        <w:pStyle w:val="a7"/>
        <w:framePr w:wrap="around" w:vAnchor="page" w:hAnchor="page" w:x="10616" w:y="15620"/>
        <w:shd w:val="clear" w:color="auto" w:fill="auto"/>
        <w:spacing w:line="170" w:lineRule="exact"/>
        <w:ind w:left="20"/>
      </w:pPr>
      <w:r>
        <w:t>291</w:t>
      </w:r>
    </w:p>
    <w:p w:rsidR="007B3874" w:rsidRDefault="007B3874">
      <w:pPr>
        <w:rPr>
          <w:sz w:val="2"/>
          <w:szCs w:val="2"/>
        </w:rPr>
        <w:sectPr w:rsidR="007B3874">
          <w:pgSz w:w="11909" w:h="16838"/>
          <w:pgMar w:top="0" w:right="0" w:bottom="0" w:left="0" w:header="0" w:footer="3" w:gutter="0"/>
          <w:cols w:space="720"/>
          <w:noEndnote/>
          <w:docGrid w:linePitch="360"/>
        </w:sectPr>
      </w:pPr>
    </w:p>
    <w:p w:rsidR="007B3874" w:rsidRDefault="0018067B">
      <w:pPr>
        <w:pStyle w:val="40"/>
        <w:framePr w:w="10238" w:h="5573" w:hRule="exact" w:wrap="around" w:vAnchor="page" w:hAnchor="page" w:x="848" w:y="1215"/>
        <w:numPr>
          <w:ilvl w:val="0"/>
          <w:numId w:val="2"/>
        </w:numPr>
        <w:shd w:val="clear" w:color="auto" w:fill="auto"/>
        <w:tabs>
          <w:tab w:val="left" w:pos="938"/>
        </w:tabs>
        <w:ind w:left="40" w:right="280" w:firstLine="580"/>
      </w:pPr>
      <w:r>
        <w:lastRenderedPageBreak/>
        <w:t>Волик Н. Г. Ресурсна база комерційних банків Укра</w:t>
      </w:r>
      <w:r>
        <w:t xml:space="preserve">їни: сучасний стан і перспективи розвитку [Текст] / Н. Г. Волик, </w:t>
      </w:r>
      <w:r>
        <w:rPr>
          <w:lang w:val="ru-RU" w:eastAsia="ru-RU" w:bidi="ru-RU"/>
        </w:rPr>
        <w:t xml:space="preserve">К. </w:t>
      </w:r>
      <w:r>
        <w:t>Г. Яценко // Держава та регіони. Сер. Економіка та підприємництво. - 2010. - Вип. 6. - С. 270-274.</w:t>
      </w:r>
    </w:p>
    <w:p w:rsidR="007B3874" w:rsidRDefault="0018067B">
      <w:pPr>
        <w:pStyle w:val="40"/>
        <w:framePr w:w="10238" w:h="5573" w:hRule="exact" w:wrap="around" w:vAnchor="page" w:hAnchor="page" w:x="848" w:y="1215"/>
        <w:numPr>
          <w:ilvl w:val="0"/>
          <w:numId w:val="3"/>
        </w:numPr>
        <w:shd w:val="clear" w:color="auto" w:fill="auto"/>
        <w:ind w:left="40" w:right="280" w:firstLine="580"/>
      </w:pPr>
      <w:r>
        <w:t xml:space="preserve"> Галіцейська Ю. М. Ресурсна база комерційних банків: сучасний стан та можливі напрями опт</w:t>
      </w:r>
      <w:r>
        <w:t>имізації [Текст] / Ю. М. Галіцейська // Вісник Тернопільського державного економічного університету. - 2006. - № 3. - С. 124-130.</w:t>
      </w:r>
    </w:p>
    <w:p w:rsidR="007B3874" w:rsidRDefault="0018067B">
      <w:pPr>
        <w:pStyle w:val="40"/>
        <w:framePr w:w="10238" w:h="5573" w:hRule="exact" w:wrap="around" w:vAnchor="page" w:hAnchor="page" w:x="848" w:y="1215"/>
        <w:numPr>
          <w:ilvl w:val="0"/>
          <w:numId w:val="3"/>
        </w:numPr>
        <w:shd w:val="clear" w:color="auto" w:fill="auto"/>
        <w:ind w:left="40" w:right="280" w:firstLine="580"/>
      </w:pPr>
      <w:r>
        <w:t xml:space="preserve"> Дзюблюк О. В. Оптимізація формування ресурсної бази комерційних банків [Текст] /О. В. Дзюблюк //Банківська справа. - 2008. - </w:t>
      </w:r>
      <w:r>
        <w:t>№ 5. - С. 38-47.</w:t>
      </w:r>
    </w:p>
    <w:p w:rsidR="007B3874" w:rsidRDefault="0018067B">
      <w:pPr>
        <w:pStyle w:val="40"/>
        <w:framePr w:w="10238" w:h="5573" w:hRule="exact" w:wrap="around" w:vAnchor="page" w:hAnchor="page" w:x="848" w:y="1215"/>
        <w:numPr>
          <w:ilvl w:val="0"/>
          <w:numId w:val="3"/>
        </w:numPr>
        <w:shd w:val="clear" w:color="auto" w:fill="auto"/>
        <w:tabs>
          <w:tab w:val="left" w:pos="1110"/>
        </w:tabs>
        <w:ind w:left="40" w:right="280" w:firstLine="580"/>
      </w:pPr>
      <w:r>
        <w:t xml:space="preserve"> Дребот Н. П. Стратегія банківської установи на ринку депозитних послуг [Електронний ресурс] / Н. П. Дребот, О. Р. Галько //Регіональна економіка. - 2008. - №4. - С. 125-131.</w:t>
      </w:r>
      <w:r>
        <w:tab/>
        <w:t xml:space="preserve">- Режим доступу: Режим доступу: </w:t>
      </w:r>
      <w:hyperlink r:id="rId14" w:history="1">
        <w:r>
          <w:rPr>
            <w:rStyle w:val="a3"/>
            <w:lang w:val="en-US" w:eastAsia="en-US" w:bidi="en-US"/>
          </w:rPr>
          <w:t>http://dspace.nbuv.gov.ua/bitstream/handle/</w:t>
        </w:r>
      </w:hyperlink>
      <w:r>
        <w:rPr>
          <w:lang w:val="en-US" w:eastAsia="en-US" w:bidi="en-US"/>
        </w:rPr>
        <w:t xml:space="preserve"> </w:t>
      </w:r>
      <w:r>
        <w:t>123456789/5473/17-Drebot.pdf?sequence=1.</w:t>
      </w:r>
    </w:p>
    <w:p w:rsidR="007B3874" w:rsidRDefault="0018067B">
      <w:pPr>
        <w:pStyle w:val="40"/>
        <w:framePr w:w="10238" w:h="5573" w:hRule="exact" w:wrap="around" w:vAnchor="page" w:hAnchor="page" w:x="848" w:y="1215"/>
        <w:numPr>
          <w:ilvl w:val="0"/>
          <w:numId w:val="3"/>
        </w:numPr>
        <w:shd w:val="clear" w:color="auto" w:fill="auto"/>
        <w:ind w:left="40" w:right="280" w:firstLine="580"/>
      </w:pPr>
      <w:r>
        <w:t xml:space="preserve"> </w:t>
      </w:r>
      <w:r>
        <w:rPr>
          <w:lang w:val="ru-RU" w:eastAsia="ru-RU" w:bidi="ru-RU"/>
        </w:rPr>
        <w:t xml:space="preserve">Кучеренко С. </w:t>
      </w:r>
      <w:r>
        <w:t xml:space="preserve">А. Депозитна політика банку та основні напрями її реформування [Електронний ресурс] / </w:t>
      </w:r>
      <w:r>
        <w:rPr>
          <w:lang w:val="ru-RU" w:eastAsia="ru-RU" w:bidi="ru-RU"/>
        </w:rPr>
        <w:t xml:space="preserve">С. А. Кучеренко, </w:t>
      </w:r>
      <w:r>
        <w:t>Я.В. Ли</w:t>
      </w:r>
      <w:r>
        <w:t xml:space="preserve">хочас //Бізнес-інформ. - 2013. - № 6. - С. </w:t>
      </w:r>
      <w:r>
        <w:rPr>
          <w:lang w:val="en-US" w:eastAsia="en-US" w:bidi="en-US"/>
        </w:rPr>
        <w:t>342</w:t>
      </w:r>
      <w:r>
        <w:rPr>
          <w:lang w:val="en-US" w:eastAsia="en-US" w:bidi="en-US"/>
        </w:rPr>
        <w:softHyphen/>
        <w:t>345.</w:t>
      </w:r>
      <w:r>
        <w:t xml:space="preserve"> - Режим доступу: </w:t>
      </w:r>
      <w:hyperlink r:id="rId15" w:history="1">
        <w:r>
          <w:rPr>
            <w:rStyle w:val="a3"/>
            <w:lang w:val="en-US" w:eastAsia="en-US" w:bidi="en-US"/>
          </w:rPr>
          <w:t>http://www.business-inform.net/pdf/2013/6_0/342_345.pdf</w:t>
        </w:r>
      </w:hyperlink>
      <w:r>
        <w:rPr>
          <w:lang w:val="en-US" w:eastAsia="en-US" w:bidi="en-US"/>
        </w:rPr>
        <w:t>.</w:t>
      </w:r>
    </w:p>
    <w:p w:rsidR="007B3874" w:rsidRDefault="0018067B">
      <w:pPr>
        <w:pStyle w:val="40"/>
        <w:framePr w:w="10238" w:h="5573" w:hRule="exact" w:wrap="around" w:vAnchor="page" w:hAnchor="page" w:x="848" w:y="1215"/>
        <w:numPr>
          <w:ilvl w:val="0"/>
          <w:numId w:val="3"/>
        </w:numPr>
        <w:shd w:val="clear" w:color="auto" w:fill="auto"/>
        <w:ind w:left="40" w:right="280" w:firstLine="580"/>
      </w:pPr>
      <w:r>
        <w:t xml:space="preserve"> Маринчак </w:t>
      </w:r>
      <w:r>
        <w:rPr>
          <w:lang w:val="ru-RU" w:eastAsia="ru-RU" w:bidi="ru-RU"/>
        </w:rPr>
        <w:t xml:space="preserve">Л. </w:t>
      </w:r>
      <w:r>
        <w:t>Р. Оцінка ефективності залучення депозитів у си</w:t>
      </w:r>
      <w:r>
        <w:t xml:space="preserve">стемі ресурсного забезпечення вітчизняних банків [Електронний ресурс] / </w:t>
      </w:r>
      <w:r>
        <w:rPr>
          <w:lang w:val="ru-RU" w:eastAsia="ru-RU" w:bidi="ru-RU"/>
        </w:rPr>
        <w:t xml:space="preserve">Л. </w:t>
      </w:r>
      <w:r>
        <w:t>Р. Маринчак //Наукові записки. - 2013. - Випуск 22. - С. 63-67. - Режим доступу: http://eprints.oa.edu..u.a/2131/1/13.pdf.</w:t>
      </w:r>
    </w:p>
    <w:p w:rsidR="007B3874" w:rsidRDefault="0018067B">
      <w:pPr>
        <w:pStyle w:val="40"/>
        <w:framePr w:w="10238" w:h="5573" w:hRule="exact" w:wrap="around" w:vAnchor="page" w:hAnchor="page" w:x="848" w:y="1215"/>
        <w:numPr>
          <w:ilvl w:val="0"/>
          <w:numId w:val="3"/>
        </w:numPr>
        <w:shd w:val="clear" w:color="auto" w:fill="auto"/>
        <w:ind w:left="40" w:right="280" w:firstLine="580"/>
      </w:pPr>
      <w:r>
        <w:t xml:space="preserve"> Офіційний сайт Національного банку України [Електронний р</w:t>
      </w:r>
      <w:r>
        <w:t xml:space="preserve">есурс] / Режим доступу: </w:t>
      </w:r>
      <w:hyperlink r:id="rId16" w:history="1">
        <w:r>
          <w:rPr>
            <w:rStyle w:val="a3"/>
            <w:lang w:val="en-US" w:eastAsia="en-US" w:bidi="en-US"/>
          </w:rPr>
          <w:t>http://www.bank.gov.ua</w:t>
        </w:r>
      </w:hyperlink>
      <w:r>
        <w:rPr>
          <w:lang w:val="en-US" w:eastAsia="en-US" w:bidi="en-US"/>
        </w:rPr>
        <w:t>.</w:t>
      </w:r>
    </w:p>
    <w:p w:rsidR="007B3874" w:rsidRDefault="0018067B">
      <w:pPr>
        <w:pStyle w:val="a7"/>
        <w:framePr w:wrap="around" w:vAnchor="page" w:hAnchor="page" w:x="858" w:y="15663"/>
        <w:shd w:val="clear" w:color="auto" w:fill="auto"/>
        <w:spacing w:line="170" w:lineRule="exact"/>
        <w:ind w:left="20"/>
      </w:pPr>
      <w:r>
        <w:t>292</w:t>
      </w:r>
    </w:p>
    <w:p w:rsidR="007B3874" w:rsidRDefault="007B3874">
      <w:pPr>
        <w:rPr>
          <w:sz w:val="2"/>
          <w:szCs w:val="2"/>
        </w:rPr>
      </w:pPr>
    </w:p>
    <w:sectPr w:rsidR="007B3874" w:rsidSect="007B387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67B" w:rsidRDefault="0018067B" w:rsidP="007B3874">
      <w:r>
        <w:separator/>
      </w:r>
    </w:p>
  </w:endnote>
  <w:endnote w:type="continuationSeparator" w:id="1">
    <w:p w:rsidR="0018067B" w:rsidRDefault="0018067B" w:rsidP="007B3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67B" w:rsidRDefault="0018067B"/>
  </w:footnote>
  <w:footnote w:type="continuationSeparator" w:id="1">
    <w:p w:rsidR="0018067B" w:rsidRDefault="001806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97B"/>
    <w:multiLevelType w:val="multilevel"/>
    <w:tmpl w:val="0638F45E"/>
    <w:lvl w:ilvl="0">
      <w:start w:val="8"/>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BF7E31"/>
    <w:multiLevelType w:val="multilevel"/>
    <w:tmpl w:val="E4786F74"/>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752C3E"/>
    <w:multiLevelType w:val="multilevel"/>
    <w:tmpl w:val="8ED04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B3874"/>
    <w:rsid w:val="0018067B"/>
    <w:rsid w:val="00323DD4"/>
    <w:rsid w:val="007B38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38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3874"/>
    <w:rPr>
      <w:color w:val="0066CC"/>
      <w:u w:val="single"/>
    </w:rPr>
  </w:style>
  <w:style w:type="character" w:customStyle="1" w:styleId="2">
    <w:name w:val="Основний текст (2)_"/>
    <w:basedOn w:val="a0"/>
    <w:link w:val="20"/>
    <w:rsid w:val="007B3874"/>
    <w:rPr>
      <w:rFonts w:ascii="Times New Roman" w:eastAsia="Times New Roman" w:hAnsi="Times New Roman" w:cs="Times New Roman"/>
      <w:b/>
      <w:bCs/>
      <w:i w:val="0"/>
      <w:iCs w:val="0"/>
      <w:smallCaps w:val="0"/>
      <w:strike w:val="0"/>
      <w:spacing w:val="3"/>
      <w:sz w:val="21"/>
      <w:szCs w:val="21"/>
      <w:u w:val="none"/>
      <w:lang w:val="ru-RU" w:eastAsia="ru-RU" w:bidi="ru-RU"/>
    </w:rPr>
  </w:style>
  <w:style w:type="character" w:customStyle="1" w:styleId="a4">
    <w:name w:val="Основний текст_"/>
    <w:basedOn w:val="a0"/>
    <w:link w:val="a5"/>
    <w:rsid w:val="007B387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
    <w:name w:val="Основний текст + Напівжирний;Інтервал 0 pt"/>
    <w:basedOn w:val="a4"/>
    <w:rsid w:val="007B3874"/>
    <w:rPr>
      <w:b/>
      <w:bCs/>
      <w:color w:val="000000"/>
      <w:spacing w:val="3"/>
      <w:w w:val="100"/>
      <w:position w:val="0"/>
      <w:lang w:val="uk-UA" w:eastAsia="uk-UA" w:bidi="uk-UA"/>
    </w:rPr>
  </w:style>
  <w:style w:type="character" w:customStyle="1" w:styleId="21">
    <w:name w:val="Основний текст (2)"/>
    <w:basedOn w:val="2"/>
    <w:rsid w:val="007B3874"/>
    <w:rPr>
      <w:color w:val="000000"/>
      <w:w w:val="100"/>
      <w:position w:val="0"/>
      <w:u w:val="single"/>
      <w:lang w:val="uk-UA" w:eastAsia="uk-UA" w:bidi="uk-UA"/>
    </w:rPr>
  </w:style>
  <w:style w:type="character" w:customStyle="1" w:styleId="3">
    <w:name w:val="Основний текст (3)_"/>
    <w:basedOn w:val="a0"/>
    <w:link w:val="30"/>
    <w:rsid w:val="007B3874"/>
    <w:rPr>
      <w:rFonts w:ascii="Times New Roman" w:eastAsia="Times New Roman" w:hAnsi="Times New Roman" w:cs="Times New Roman"/>
      <w:b/>
      <w:bCs/>
      <w:i/>
      <w:iCs/>
      <w:smallCaps w:val="0"/>
      <w:strike w:val="0"/>
      <w:spacing w:val="2"/>
      <w:sz w:val="22"/>
      <w:szCs w:val="22"/>
      <w:u w:val="none"/>
      <w:lang w:val="ru-RU" w:eastAsia="ru-RU" w:bidi="ru-RU"/>
    </w:rPr>
  </w:style>
  <w:style w:type="character" w:customStyle="1" w:styleId="4">
    <w:name w:val="Основний текст (4)_"/>
    <w:basedOn w:val="a0"/>
    <w:link w:val="40"/>
    <w:rsid w:val="007B3874"/>
    <w:rPr>
      <w:rFonts w:ascii="Times New Roman" w:eastAsia="Times New Roman" w:hAnsi="Times New Roman" w:cs="Times New Roman"/>
      <w:b w:val="0"/>
      <w:bCs w:val="0"/>
      <w:i/>
      <w:iCs/>
      <w:smallCaps w:val="0"/>
      <w:strike w:val="0"/>
      <w:spacing w:val="-3"/>
      <w:sz w:val="22"/>
      <w:szCs w:val="22"/>
      <w:u w:val="none"/>
    </w:rPr>
  </w:style>
  <w:style w:type="character" w:customStyle="1" w:styleId="485pt0pt">
    <w:name w:val="Основний текст (4) + 8;5 pt;Напівжирний;Не курсив;Інтервал 0 pt"/>
    <w:basedOn w:val="4"/>
    <w:rsid w:val="007B3874"/>
    <w:rPr>
      <w:b/>
      <w:bCs/>
      <w:i/>
      <w:iCs/>
      <w:color w:val="000000"/>
      <w:spacing w:val="0"/>
      <w:w w:val="100"/>
      <w:position w:val="0"/>
      <w:sz w:val="17"/>
      <w:szCs w:val="17"/>
      <w:lang w:val="uk-UA" w:eastAsia="uk-UA" w:bidi="uk-UA"/>
    </w:rPr>
  </w:style>
  <w:style w:type="character" w:customStyle="1" w:styleId="40pt">
    <w:name w:val="Основний текст (4) + Напівжирний;Інтервал 0 pt"/>
    <w:basedOn w:val="4"/>
    <w:rsid w:val="007B3874"/>
    <w:rPr>
      <w:b/>
      <w:bCs/>
      <w:color w:val="000000"/>
      <w:spacing w:val="2"/>
      <w:w w:val="100"/>
      <w:position w:val="0"/>
      <w:lang w:val="ru-RU" w:eastAsia="ru-RU" w:bidi="ru-RU"/>
    </w:rPr>
  </w:style>
  <w:style w:type="character" w:customStyle="1" w:styleId="a6">
    <w:name w:val="Колонтитул_"/>
    <w:basedOn w:val="a0"/>
    <w:link w:val="a7"/>
    <w:rsid w:val="007B3874"/>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8">
    <w:name w:val="Підпис до таблиці_"/>
    <w:basedOn w:val="a0"/>
    <w:link w:val="a9"/>
    <w:rsid w:val="007B3874"/>
    <w:rPr>
      <w:rFonts w:ascii="Times New Roman" w:eastAsia="Times New Roman" w:hAnsi="Times New Roman" w:cs="Times New Roman"/>
      <w:b/>
      <w:bCs/>
      <w:i w:val="0"/>
      <w:iCs w:val="0"/>
      <w:smallCaps w:val="0"/>
      <w:strike w:val="0"/>
      <w:spacing w:val="3"/>
      <w:sz w:val="21"/>
      <w:szCs w:val="21"/>
      <w:u w:val="none"/>
    </w:rPr>
  </w:style>
  <w:style w:type="character" w:customStyle="1" w:styleId="aa">
    <w:name w:val="Підпис до таблиці"/>
    <w:basedOn w:val="a8"/>
    <w:rsid w:val="007B3874"/>
    <w:rPr>
      <w:color w:val="000000"/>
      <w:w w:val="100"/>
      <w:position w:val="0"/>
      <w:u w:val="single"/>
      <w:lang w:val="uk-UA" w:eastAsia="uk-UA" w:bidi="uk-UA"/>
    </w:rPr>
  </w:style>
  <w:style w:type="character" w:customStyle="1" w:styleId="ab">
    <w:name w:val="Основний текст"/>
    <w:basedOn w:val="a4"/>
    <w:rsid w:val="007B3874"/>
    <w:rPr>
      <w:color w:val="000000"/>
      <w:w w:val="100"/>
      <w:position w:val="0"/>
      <w:lang w:val="uk-UA" w:eastAsia="uk-UA" w:bidi="uk-UA"/>
    </w:rPr>
  </w:style>
  <w:style w:type="character" w:customStyle="1" w:styleId="22">
    <w:name w:val="Підпис до таблиці (2)_"/>
    <w:basedOn w:val="a0"/>
    <w:link w:val="23"/>
    <w:rsid w:val="007B387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4">
    <w:name w:val="Підпис до таблиці (2)"/>
    <w:basedOn w:val="22"/>
    <w:rsid w:val="007B3874"/>
    <w:rPr>
      <w:color w:val="000000"/>
      <w:w w:val="100"/>
      <w:position w:val="0"/>
      <w:u w:val="single"/>
      <w:lang w:val="uk-UA" w:eastAsia="uk-UA" w:bidi="uk-UA"/>
    </w:rPr>
  </w:style>
  <w:style w:type="character" w:customStyle="1" w:styleId="25">
    <w:name w:val="Заголовок №2_"/>
    <w:basedOn w:val="a0"/>
    <w:link w:val="26"/>
    <w:rsid w:val="007B3874"/>
    <w:rPr>
      <w:rFonts w:ascii="Times New Roman" w:eastAsia="Times New Roman" w:hAnsi="Times New Roman" w:cs="Times New Roman"/>
      <w:b/>
      <w:bCs/>
      <w:i/>
      <w:iCs/>
      <w:smallCaps w:val="0"/>
      <w:strike w:val="0"/>
      <w:spacing w:val="2"/>
      <w:sz w:val="22"/>
      <w:szCs w:val="22"/>
      <w:u w:val="none"/>
    </w:rPr>
  </w:style>
  <w:style w:type="character" w:customStyle="1" w:styleId="1">
    <w:name w:val="Заголовок №1_"/>
    <w:basedOn w:val="a0"/>
    <w:link w:val="10"/>
    <w:rsid w:val="007B3874"/>
    <w:rPr>
      <w:rFonts w:ascii="Times New Roman" w:eastAsia="Times New Roman" w:hAnsi="Times New Roman" w:cs="Times New Roman"/>
      <w:b w:val="0"/>
      <w:bCs w:val="0"/>
      <w:i/>
      <w:iCs/>
      <w:smallCaps w:val="0"/>
      <w:strike w:val="0"/>
      <w:spacing w:val="-3"/>
      <w:sz w:val="22"/>
      <w:szCs w:val="22"/>
      <w:u w:val="none"/>
      <w:lang w:val="en-US" w:eastAsia="en-US" w:bidi="en-US"/>
    </w:rPr>
  </w:style>
  <w:style w:type="paragraph" w:customStyle="1" w:styleId="20">
    <w:name w:val="Основний текст (2)"/>
    <w:basedOn w:val="a"/>
    <w:link w:val="2"/>
    <w:rsid w:val="007B3874"/>
    <w:pPr>
      <w:shd w:val="clear" w:color="auto" w:fill="FFFFFF"/>
      <w:spacing w:after="300" w:line="0" w:lineRule="atLeast"/>
    </w:pPr>
    <w:rPr>
      <w:rFonts w:ascii="Times New Roman" w:eastAsia="Times New Roman" w:hAnsi="Times New Roman" w:cs="Times New Roman"/>
      <w:b/>
      <w:bCs/>
      <w:spacing w:val="3"/>
      <w:sz w:val="21"/>
      <w:szCs w:val="21"/>
      <w:lang w:val="ru-RU" w:eastAsia="ru-RU" w:bidi="ru-RU"/>
    </w:rPr>
  </w:style>
  <w:style w:type="paragraph" w:customStyle="1" w:styleId="a5">
    <w:name w:val="Основний текст"/>
    <w:basedOn w:val="a"/>
    <w:link w:val="a4"/>
    <w:rsid w:val="007B3874"/>
    <w:pPr>
      <w:shd w:val="clear" w:color="auto" w:fill="FFFFFF"/>
      <w:spacing w:after="300"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7B3874"/>
    <w:pPr>
      <w:shd w:val="clear" w:color="auto" w:fill="FFFFFF"/>
      <w:spacing w:before="300" w:line="274" w:lineRule="exact"/>
      <w:jc w:val="center"/>
    </w:pPr>
    <w:rPr>
      <w:rFonts w:ascii="Times New Roman" w:eastAsia="Times New Roman" w:hAnsi="Times New Roman" w:cs="Times New Roman"/>
      <w:b/>
      <w:bCs/>
      <w:i/>
      <w:iCs/>
      <w:spacing w:val="2"/>
      <w:sz w:val="22"/>
      <w:szCs w:val="22"/>
      <w:lang w:val="ru-RU" w:eastAsia="ru-RU" w:bidi="ru-RU"/>
    </w:rPr>
  </w:style>
  <w:style w:type="paragraph" w:customStyle="1" w:styleId="40">
    <w:name w:val="Основний текст (4)"/>
    <w:basedOn w:val="a"/>
    <w:link w:val="4"/>
    <w:rsid w:val="007B3874"/>
    <w:pPr>
      <w:shd w:val="clear" w:color="auto" w:fill="FFFFFF"/>
      <w:spacing w:line="274" w:lineRule="exact"/>
      <w:ind w:firstLine="560"/>
      <w:jc w:val="both"/>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7B3874"/>
    <w:pPr>
      <w:shd w:val="clear" w:color="auto" w:fill="FFFFFF"/>
      <w:spacing w:line="0" w:lineRule="atLeast"/>
    </w:pPr>
    <w:rPr>
      <w:rFonts w:ascii="Times New Roman" w:eastAsia="Times New Roman" w:hAnsi="Times New Roman" w:cs="Times New Roman"/>
      <w:spacing w:val="4"/>
      <w:sz w:val="17"/>
      <w:szCs w:val="17"/>
    </w:rPr>
  </w:style>
  <w:style w:type="paragraph" w:customStyle="1" w:styleId="a9">
    <w:name w:val="Підпис до таблиці"/>
    <w:basedOn w:val="a"/>
    <w:link w:val="a8"/>
    <w:rsid w:val="007B3874"/>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23">
    <w:name w:val="Підпис до таблиці (2)"/>
    <w:basedOn w:val="a"/>
    <w:link w:val="22"/>
    <w:rsid w:val="007B3874"/>
    <w:pPr>
      <w:shd w:val="clear" w:color="auto" w:fill="FFFFFF"/>
      <w:spacing w:line="0" w:lineRule="atLeast"/>
    </w:pPr>
    <w:rPr>
      <w:rFonts w:ascii="Times New Roman" w:eastAsia="Times New Roman" w:hAnsi="Times New Roman" w:cs="Times New Roman"/>
      <w:spacing w:val="4"/>
      <w:sz w:val="21"/>
      <w:szCs w:val="21"/>
    </w:rPr>
  </w:style>
  <w:style w:type="paragraph" w:customStyle="1" w:styleId="26">
    <w:name w:val="Заголовок №2"/>
    <w:basedOn w:val="a"/>
    <w:link w:val="25"/>
    <w:rsid w:val="007B3874"/>
    <w:pPr>
      <w:shd w:val="clear" w:color="auto" w:fill="FFFFFF"/>
      <w:spacing w:before="240" w:line="274" w:lineRule="exact"/>
      <w:jc w:val="center"/>
      <w:outlineLvl w:val="1"/>
    </w:pPr>
    <w:rPr>
      <w:rFonts w:ascii="Times New Roman" w:eastAsia="Times New Roman" w:hAnsi="Times New Roman" w:cs="Times New Roman"/>
      <w:b/>
      <w:bCs/>
      <w:i/>
      <w:iCs/>
      <w:spacing w:val="2"/>
      <w:sz w:val="22"/>
      <w:szCs w:val="22"/>
    </w:rPr>
  </w:style>
  <w:style w:type="paragraph" w:customStyle="1" w:styleId="10">
    <w:name w:val="Заголовок №1"/>
    <w:basedOn w:val="a"/>
    <w:link w:val="1"/>
    <w:rsid w:val="007B3874"/>
    <w:pPr>
      <w:shd w:val="clear" w:color="auto" w:fill="FFFFFF"/>
      <w:spacing w:line="274" w:lineRule="exact"/>
      <w:outlineLvl w:val="0"/>
    </w:pPr>
    <w:rPr>
      <w:rFonts w:ascii="Times New Roman" w:eastAsia="Times New Roman" w:hAnsi="Times New Roman" w:cs="Times New Roman"/>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vanna1993@gmail.com" TargetMode="External"/><Relationship Id="rId13" Type="http://schemas.openxmlformats.org/officeDocument/2006/relationships/hyperlink" Target="http://archive.nbuv.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awik1966@gmail.com" TargetMode="External"/><Relationship Id="rId12" Type="http://schemas.openxmlformats.org/officeDocument/2006/relationships/hyperlink" Target="http://fk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n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nbuv.gov" TargetMode="External"/><Relationship Id="rId5" Type="http://schemas.openxmlformats.org/officeDocument/2006/relationships/footnotes" Target="footnotes.xml"/><Relationship Id="rId15" Type="http://schemas.openxmlformats.org/officeDocument/2006/relationships/hyperlink" Target="http://www.business-inform.net/pdf/2013/6_0/342_345.pdf" TargetMode="External"/><Relationship Id="rId10" Type="http://schemas.openxmlformats.org/officeDocument/2006/relationships/hyperlink" Target="mailto:ch.ivanna1993@gmail.com" TargetMode="External"/><Relationship Id="rId4" Type="http://schemas.openxmlformats.org/officeDocument/2006/relationships/webSettings" Target="webSettings.xml"/><Relationship Id="rId9" Type="http://schemas.openxmlformats.org/officeDocument/2006/relationships/hyperlink" Target="mailto:slawik1966@gmail.com" TargetMode="External"/><Relationship Id="rId14" Type="http://schemas.openxmlformats.org/officeDocument/2006/relationships/hyperlink" Target="http://dspace.nbuv.gov.ua/bitstream/hand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20645</Words>
  <Characters>11769</Characters>
  <Application>Microsoft Office Word</Application>
  <DocSecurity>0</DocSecurity>
  <Lines>98</Lines>
  <Paragraphs>64</Paragraphs>
  <ScaleCrop>false</ScaleCrop>
  <Company>Microsoft</Company>
  <LinksUpToDate>false</LinksUpToDate>
  <CharactersWithSpaces>32350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2017-06-30T09:04:00Z</dcterms:created>
  <dcterms:modified xsi:type="dcterms:W3CDTF">2017-06-30T09:04:00Z</dcterms:modified>
</cp:coreProperties>
</file>